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89DF" w14:textId="77777777" w:rsidR="006B1E43" w:rsidRPr="002764D6" w:rsidRDefault="006B1E43" w:rsidP="006B1E43">
      <w:pPr>
        <w:pStyle w:val="BasicParagraph"/>
        <w:rPr>
          <w:rFonts w:ascii="Calibri" w:hAnsi="Calibri" w:cs="Calibri"/>
          <w:color w:val="000000" w:themeColor="text1"/>
          <w:sz w:val="22"/>
          <w:szCs w:val="22"/>
          <w:lang w:val="sv-SE"/>
        </w:rPr>
      </w:pPr>
      <w:r w:rsidRPr="002764D6">
        <w:rPr>
          <w:rFonts w:ascii="Calibri" w:hAnsi="Calibri" w:cs="Calibri"/>
          <w:color w:val="000000" w:themeColor="text1"/>
          <w:sz w:val="22"/>
          <w:szCs w:val="22"/>
          <w:lang w:val="sv-SE"/>
        </w:rPr>
        <w:t xml:space="preserve">EJ FÖR OFFENTLIGGÖRANDE, DISTRIBUTION ELLER PUBLICERING, </w:t>
      </w:r>
      <w:proofErr w:type="gramStart"/>
      <w:r w:rsidRPr="002764D6">
        <w:rPr>
          <w:rFonts w:ascii="Calibri" w:hAnsi="Calibri" w:cs="Calibri"/>
          <w:color w:val="000000" w:themeColor="text1"/>
          <w:sz w:val="22"/>
          <w:szCs w:val="22"/>
          <w:lang w:val="sv-SE"/>
        </w:rPr>
        <w:t>VARE SIG DIREKT ELLER</w:t>
      </w:r>
      <w:proofErr w:type="gramEnd"/>
      <w:r w:rsidRPr="002764D6">
        <w:rPr>
          <w:rFonts w:ascii="Calibri" w:hAnsi="Calibri" w:cs="Calibri"/>
          <w:color w:val="000000" w:themeColor="text1"/>
          <w:sz w:val="22"/>
          <w:szCs w:val="22"/>
          <w:lang w:val="sv-SE"/>
        </w:rPr>
        <w:t xml:space="preserve"> INDIREKT, INOM ELLER TILL USA, AUSTRALIEN, BELARUS, HONGKONG, JAPAN, KANADA, NYA ZEELAND, RYSSLAND, SCHWEIZ, SINGAPORE, SYDAFRIKA, SYDKOREA ELLER I NÅGON ANNAN JURISDIKTION DÄR OFFENTLIGGÖRANDE, DISTRIBUTION ELLER PUBLICERING AV DETTA PRESSMEDDELANDE SKULLE VARA OLAGLIG ELLER KRÄVA YTTERLIGARE REGISTRERINGS- ELLER ANDRA ÅTGÄRDER.</w:t>
      </w:r>
    </w:p>
    <w:p w14:paraId="3F060D00" w14:textId="77777777" w:rsidR="006B1E43" w:rsidRPr="002764D6" w:rsidRDefault="006B1E43" w:rsidP="006B1E43">
      <w:pPr>
        <w:rPr>
          <w:rFonts w:ascii="Calibri" w:hAnsi="Calibri" w:cs="Calibri"/>
          <w:b/>
          <w:bCs/>
          <w:sz w:val="38"/>
          <w:szCs w:val="38"/>
        </w:rPr>
      </w:pPr>
    </w:p>
    <w:p w14:paraId="7A0B9A71" w14:textId="1F8FE1F5" w:rsidR="006B1E43" w:rsidRPr="002764D6" w:rsidRDefault="006B1E43" w:rsidP="006B1E43">
      <w:pPr>
        <w:rPr>
          <w:rFonts w:ascii="Calibri" w:hAnsi="Calibri" w:cs="Calibri"/>
          <w:b/>
          <w:bCs/>
          <w:sz w:val="38"/>
          <w:szCs w:val="38"/>
        </w:rPr>
      </w:pPr>
      <w:r w:rsidRPr="002764D6">
        <w:rPr>
          <w:rFonts w:ascii="Calibri" w:hAnsi="Calibri" w:cs="Calibri"/>
          <w:b/>
          <w:bCs/>
          <w:sz w:val="38"/>
          <w:szCs w:val="38"/>
        </w:rPr>
        <w:t>Arcede</w:t>
      </w:r>
      <w:r w:rsidR="00AC1F12" w:rsidRPr="002764D6">
        <w:rPr>
          <w:rFonts w:ascii="Calibri" w:hAnsi="Calibri" w:cs="Calibri"/>
          <w:b/>
          <w:bCs/>
          <w:sz w:val="38"/>
          <w:szCs w:val="38"/>
        </w:rPr>
        <w:t xml:space="preserve"> Pharma</w:t>
      </w:r>
      <w:r w:rsidRPr="002764D6">
        <w:rPr>
          <w:rFonts w:ascii="Calibri" w:hAnsi="Calibri" w:cs="Calibri"/>
          <w:b/>
          <w:bCs/>
          <w:sz w:val="38"/>
          <w:szCs w:val="38"/>
        </w:rPr>
        <w:t xml:space="preserve"> genomför </w:t>
      </w:r>
      <w:proofErr w:type="spellStart"/>
      <w:r w:rsidRPr="002764D6">
        <w:rPr>
          <w:rFonts w:ascii="Calibri" w:hAnsi="Calibri" w:cs="Calibri"/>
          <w:b/>
          <w:bCs/>
          <w:sz w:val="38"/>
          <w:szCs w:val="38"/>
        </w:rPr>
        <w:t>företrädesemission</w:t>
      </w:r>
      <w:proofErr w:type="spellEnd"/>
      <w:r w:rsidRPr="002764D6">
        <w:rPr>
          <w:rFonts w:ascii="Calibri" w:hAnsi="Calibri" w:cs="Calibri"/>
          <w:b/>
          <w:bCs/>
          <w:sz w:val="38"/>
          <w:szCs w:val="38"/>
        </w:rPr>
        <w:t xml:space="preserve"> </w:t>
      </w:r>
      <w:r w:rsidR="001727F4" w:rsidRPr="002764D6">
        <w:rPr>
          <w:rFonts w:ascii="Calibri" w:hAnsi="Calibri" w:cs="Calibri"/>
          <w:b/>
          <w:bCs/>
          <w:sz w:val="38"/>
          <w:szCs w:val="38"/>
        </w:rPr>
        <w:t xml:space="preserve">av </w:t>
      </w:r>
      <w:proofErr w:type="spellStart"/>
      <w:r w:rsidR="001727F4" w:rsidRPr="002764D6">
        <w:rPr>
          <w:rFonts w:ascii="Calibri" w:hAnsi="Calibri" w:cs="Calibri"/>
          <w:b/>
          <w:bCs/>
          <w:sz w:val="38"/>
          <w:szCs w:val="38"/>
        </w:rPr>
        <w:t>units</w:t>
      </w:r>
      <w:proofErr w:type="spellEnd"/>
      <w:r w:rsidR="001727F4" w:rsidRPr="002764D6">
        <w:rPr>
          <w:rFonts w:ascii="Calibri" w:hAnsi="Calibri" w:cs="Calibri"/>
          <w:b/>
          <w:bCs/>
          <w:sz w:val="38"/>
          <w:szCs w:val="38"/>
        </w:rPr>
        <w:t xml:space="preserve"> </w:t>
      </w:r>
      <w:r w:rsidRPr="002764D6">
        <w:rPr>
          <w:rFonts w:ascii="Calibri" w:hAnsi="Calibri" w:cs="Calibri"/>
          <w:b/>
          <w:bCs/>
          <w:sz w:val="38"/>
          <w:szCs w:val="38"/>
        </w:rPr>
        <w:t xml:space="preserve">om cirka </w:t>
      </w:r>
      <w:r w:rsidR="00275DA2" w:rsidRPr="002764D6">
        <w:rPr>
          <w:rFonts w:ascii="Calibri" w:hAnsi="Calibri" w:cs="Calibri"/>
          <w:b/>
          <w:bCs/>
          <w:sz w:val="38"/>
          <w:szCs w:val="38"/>
        </w:rPr>
        <w:t>13</w:t>
      </w:r>
      <w:r w:rsidR="000B55D3" w:rsidRPr="002764D6">
        <w:rPr>
          <w:rFonts w:ascii="Calibri" w:hAnsi="Calibri" w:cs="Calibri"/>
          <w:b/>
          <w:bCs/>
          <w:sz w:val="38"/>
          <w:szCs w:val="38"/>
        </w:rPr>
        <w:t>,2</w:t>
      </w:r>
      <w:r w:rsidRPr="002764D6">
        <w:rPr>
          <w:rFonts w:ascii="Calibri" w:hAnsi="Calibri" w:cs="Calibri"/>
          <w:b/>
          <w:bCs/>
          <w:sz w:val="38"/>
          <w:szCs w:val="38"/>
        </w:rPr>
        <w:t xml:space="preserve"> MSEK</w:t>
      </w:r>
      <w:r w:rsidR="00237C18" w:rsidRPr="002764D6">
        <w:rPr>
          <w:rFonts w:ascii="Calibri" w:hAnsi="Calibri" w:cs="Calibri"/>
          <w:b/>
          <w:bCs/>
          <w:sz w:val="38"/>
          <w:szCs w:val="38"/>
        </w:rPr>
        <w:t xml:space="preserve"> </w:t>
      </w:r>
    </w:p>
    <w:p w14:paraId="2A30E560" w14:textId="3298CA85" w:rsidR="006B1E43" w:rsidRPr="002764D6" w:rsidRDefault="001727F4" w:rsidP="006B1E43">
      <w:pPr>
        <w:rPr>
          <w:rFonts w:cstheme="minorHAnsi"/>
          <w:b/>
          <w:bCs/>
          <w:sz w:val="24"/>
        </w:rPr>
      </w:pPr>
      <w:r w:rsidRPr="002764D6">
        <w:rPr>
          <w:rFonts w:cstheme="minorHAnsi"/>
          <w:b/>
          <w:bCs/>
          <w:sz w:val="24"/>
        </w:rPr>
        <w:t xml:space="preserve">Styrelsen i </w:t>
      </w:r>
      <w:r w:rsidR="006B1E43" w:rsidRPr="002764D6">
        <w:rPr>
          <w:rFonts w:cstheme="minorHAnsi"/>
          <w:b/>
          <w:bCs/>
          <w:sz w:val="24"/>
        </w:rPr>
        <w:t xml:space="preserve">Arcede Pharma AB (publ) (”Arcede” eller ”Bolaget”), som är noterat på Spotlight Stock Market (”Spotlight”), har idag den 14 juli 2023, villkorat av </w:t>
      </w:r>
      <w:r w:rsidRPr="002764D6">
        <w:rPr>
          <w:rFonts w:cstheme="minorHAnsi"/>
          <w:b/>
          <w:bCs/>
          <w:sz w:val="24"/>
        </w:rPr>
        <w:t xml:space="preserve">efterföljande </w:t>
      </w:r>
      <w:r w:rsidR="006B1E43" w:rsidRPr="002764D6">
        <w:rPr>
          <w:rFonts w:cstheme="minorHAnsi"/>
          <w:b/>
          <w:bCs/>
          <w:sz w:val="24"/>
        </w:rPr>
        <w:t xml:space="preserve">godkännande vid extra bolagsstämma den </w:t>
      </w:r>
      <w:r w:rsidR="00B27F8F">
        <w:rPr>
          <w:rFonts w:cstheme="minorHAnsi"/>
          <w:b/>
          <w:bCs/>
          <w:sz w:val="24"/>
        </w:rPr>
        <w:t>17</w:t>
      </w:r>
      <w:r w:rsidR="006B1E43" w:rsidRPr="002764D6">
        <w:rPr>
          <w:rFonts w:cstheme="minorHAnsi"/>
          <w:b/>
          <w:bCs/>
          <w:sz w:val="24"/>
        </w:rPr>
        <w:t xml:space="preserve"> augusti 2023, beslutat att genomföra en </w:t>
      </w:r>
      <w:r w:rsidRPr="002764D6">
        <w:rPr>
          <w:rFonts w:cstheme="minorHAnsi"/>
          <w:b/>
          <w:bCs/>
          <w:sz w:val="24"/>
        </w:rPr>
        <w:t>emission</w:t>
      </w:r>
      <w:r w:rsidR="006B1E43" w:rsidRPr="002764D6">
        <w:rPr>
          <w:rFonts w:cstheme="minorHAnsi"/>
          <w:b/>
          <w:bCs/>
          <w:sz w:val="24"/>
        </w:rPr>
        <w:t xml:space="preserve"> av </w:t>
      </w:r>
      <w:r w:rsidR="00BB3C5A" w:rsidRPr="002764D6">
        <w:rPr>
          <w:rFonts w:cstheme="minorHAnsi"/>
          <w:b/>
          <w:bCs/>
          <w:sz w:val="24"/>
        </w:rPr>
        <w:t>aktier och</w:t>
      </w:r>
      <w:r w:rsidR="002617B2" w:rsidRPr="002764D6">
        <w:rPr>
          <w:rFonts w:cstheme="minorHAnsi"/>
          <w:b/>
          <w:bCs/>
          <w:sz w:val="24"/>
        </w:rPr>
        <w:t xml:space="preserve"> teckningsoptioner (”</w:t>
      </w:r>
      <w:proofErr w:type="spellStart"/>
      <w:r w:rsidR="002617B2" w:rsidRPr="002764D6">
        <w:rPr>
          <w:rFonts w:cstheme="minorHAnsi"/>
          <w:b/>
          <w:bCs/>
          <w:sz w:val="24"/>
        </w:rPr>
        <w:t>Units</w:t>
      </w:r>
      <w:proofErr w:type="spellEnd"/>
      <w:r w:rsidR="002617B2" w:rsidRPr="002764D6">
        <w:rPr>
          <w:rFonts w:cstheme="minorHAnsi"/>
          <w:b/>
          <w:bCs/>
          <w:sz w:val="24"/>
        </w:rPr>
        <w:t>”)</w:t>
      </w:r>
      <w:r w:rsidR="006B1E43" w:rsidRPr="002764D6">
        <w:rPr>
          <w:rFonts w:cstheme="minorHAnsi"/>
          <w:b/>
          <w:bCs/>
          <w:sz w:val="24"/>
        </w:rPr>
        <w:t xml:space="preserve"> med företrädesrätt för befintliga aktieägare om cirka </w:t>
      </w:r>
      <w:r w:rsidR="00706A23" w:rsidRPr="002764D6">
        <w:rPr>
          <w:rFonts w:cstheme="minorHAnsi"/>
          <w:b/>
          <w:bCs/>
          <w:sz w:val="24"/>
        </w:rPr>
        <w:t>13</w:t>
      </w:r>
      <w:r w:rsidR="003D672B" w:rsidRPr="002764D6">
        <w:rPr>
          <w:rFonts w:cstheme="minorHAnsi"/>
          <w:b/>
          <w:bCs/>
          <w:sz w:val="24"/>
        </w:rPr>
        <w:t>,2</w:t>
      </w:r>
      <w:r w:rsidR="006B1E43" w:rsidRPr="002764D6">
        <w:rPr>
          <w:rFonts w:cstheme="minorHAnsi"/>
          <w:b/>
          <w:bCs/>
          <w:sz w:val="24"/>
        </w:rPr>
        <w:t xml:space="preserve"> MSEK före emissionskostnader (”Företrädesemissionen”). </w:t>
      </w:r>
      <w:r w:rsidR="006B1E43" w:rsidRPr="002764D6">
        <w:rPr>
          <w:rStyle w:val="Stark"/>
          <w:rFonts w:cstheme="minorHAnsi"/>
          <w:sz w:val="24"/>
          <w:shd w:val="clear" w:color="auto" w:fill="FFFFFF"/>
        </w:rPr>
        <w:t>Företrädesemissionen omfattas till</w:t>
      </w:r>
      <w:r w:rsidR="0088638F" w:rsidRPr="002764D6">
        <w:rPr>
          <w:rStyle w:val="Stark"/>
          <w:rFonts w:cstheme="minorHAnsi"/>
          <w:sz w:val="24"/>
          <w:shd w:val="clear" w:color="auto" w:fill="FFFFFF"/>
        </w:rPr>
        <w:t xml:space="preserve"> cirka</w:t>
      </w:r>
      <w:r w:rsidR="006B1E43" w:rsidRPr="002764D6">
        <w:rPr>
          <w:rStyle w:val="Stark"/>
          <w:rFonts w:cstheme="minorHAnsi"/>
          <w:sz w:val="24"/>
          <w:shd w:val="clear" w:color="auto" w:fill="FFFFFF"/>
        </w:rPr>
        <w:t xml:space="preserve"> </w:t>
      </w:r>
      <w:r w:rsidR="0073653D">
        <w:rPr>
          <w:rStyle w:val="Stark"/>
          <w:rFonts w:cstheme="minorHAnsi"/>
          <w:sz w:val="24"/>
          <w:shd w:val="clear" w:color="auto" w:fill="FFFFFF"/>
        </w:rPr>
        <w:t>38</w:t>
      </w:r>
      <w:r w:rsidR="0073653D" w:rsidRPr="002764D6">
        <w:rPr>
          <w:rStyle w:val="Stark"/>
          <w:rFonts w:cstheme="minorHAnsi"/>
          <w:sz w:val="24"/>
          <w:shd w:val="clear" w:color="auto" w:fill="FFFFFF"/>
        </w:rPr>
        <w:t xml:space="preserve"> </w:t>
      </w:r>
      <w:r w:rsidR="006B1E43" w:rsidRPr="002764D6">
        <w:rPr>
          <w:rStyle w:val="Stark"/>
          <w:rFonts w:cstheme="minorHAnsi"/>
          <w:sz w:val="24"/>
          <w:shd w:val="clear" w:color="auto" w:fill="FFFFFF"/>
        </w:rPr>
        <w:t>procent av teckningsåtaganden</w:t>
      </w:r>
      <w:r w:rsidR="00D27DD4" w:rsidRPr="002764D6">
        <w:rPr>
          <w:rStyle w:val="Stark"/>
          <w:rFonts w:cstheme="minorHAnsi"/>
          <w:sz w:val="24"/>
          <w:shd w:val="clear" w:color="auto" w:fill="FFFFFF"/>
        </w:rPr>
        <w:t>,</w:t>
      </w:r>
      <w:r w:rsidR="000E596D" w:rsidRPr="002764D6">
        <w:rPr>
          <w:rStyle w:val="Stark"/>
          <w:rFonts w:cstheme="minorHAnsi"/>
          <w:sz w:val="24"/>
          <w:shd w:val="clear" w:color="auto" w:fill="FFFFFF"/>
        </w:rPr>
        <w:t xml:space="preserve"> </w:t>
      </w:r>
      <w:r w:rsidR="00C364CC" w:rsidRPr="002764D6">
        <w:rPr>
          <w:rStyle w:val="Stark"/>
          <w:rFonts w:cstheme="minorHAnsi"/>
          <w:sz w:val="24"/>
          <w:shd w:val="clear" w:color="auto" w:fill="FFFFFF"/>
        </w:rPr>
        <w:t>avsiktsförklaringar</w:t>
      </w:r>
      <w:r w:rsidR="006B1E43" w:rsidRPr="002764D6">
        <w:rPr>
          <w:rStyle w:val="Stark"/>
          <w:rFonts w:cstheme="minorHAnsi"/>
          <w:sz w:val="24"/>
          <w:shd w:val="clear" w:color="auto" w:fill="FFFFFF"/>
        </w:rPr>
        <w:t xml:space="preserve"> och garantiåtaganden från </w:t>
      </w:r>
      <w:r w:rsidR="006B1E43" w:rsidRPr="002764D6">
        <w:rPr>
          <w:rFonts w:cstheme="minorHAnsi"/>
          <w:b/>
          <w:bCs/>
          <w:sz w:val="24"/>
        </w:rPr>
        <w:t>befintliga aktieägare</w:t>
      </w:r>
      <w:r w:rsidR="005E0B23" w:rsidRPr="002764D6">
        <w:rPr>
          <w:rFonts w:cstheme="minorHAnsi"/>
          <w:b/>
          <w:bCs/>
          <w:sz w:val="24"/>
        </w:rPr>
        <w:t>, personer i Bolagets styrelse och ledning</w:t>
      </w:r>
      <w:r w:rsidR="006B1E43" w:rsidRPr="002764D6">
        <w:rPr>
          <w:rFonts w:cstheme="minorHAnsi"/>
          <w:b/>
          <w:bCs/>
          <w:sz w:val="24"/>
        </w:rPr>
        <w:t xml:space="preserve"> </w:t>
      </w:r>
      <w:r w:rsidR="002F593F" w:rsidRPr="002764D6">
        <w:rPr>
          <w:rFonts w:cstheme="minorHAnsi"/>
          <w:b/>
          <w:bCs/>
          <w:sz w:val="24"/>
        </w:rPr>
        <w:t>samt</w:t>
      </w:r>
      <w:r w:rsidR="006B1E43" w:rsidRPr="002764D6">
        <w:rPr>
          <w:rFonts w:cstheme="minorHAnsi"/>
          <w:b/>
          <w:bCs/>
          <w:sz w:val="24"/>
        </w:rPr>
        <w:t xml:space="preserve"> externa investerare. Företrädesemissionen förutsätter godkännande vid extra bolagsstämma den </w:t>
      </w:r>
      <w:r w:rsidR="00B27F8F">
        <w:rPr>
          <w:rFonts w:cstheme="minorHAnsi"/>
          <w:b/>
          <w:bCs/>
          <w:sz w:val="24"/>
        </w:rPr>
        <w:t>17</w:t>
      </w:r>
      <w:r w:rsidR="006B1E43" w:rsidRPr="002764D6">
        <w:rPr>
          <w:rFonts w:cstheme="minorHAnsi"/>
          <w:b/>
          <w:bCs/>
          <w:sz w:val="24"/>
        </w:rPr>
        <w:t xml:space="preserve"> augusti 2023. Kallelse till den extra bolagsstämman offentliggörs genom separat pressmeddelande. </w:t>
      </w:r>
      <w:r w:rsidRPr="002764D6">
        <w:rPr>
          <w:rFonts w:cstheme="minorHAnsi"/>
          <w:b/>
          <w:bCs/>
          <w:sz w:val="24"/>
        </w:rPr>
        <w:t>Med anledning av Företrädesemissionen</w:t>
      </w:r>
      <w:r w:rsidR="008E238A" w:rsidRPr="002764D6">
        <w:rPr>
          <w:rFonts w:cstheme="minorHAnsi"/>
          <w:b/>
          <w:bCs/>
          <w:sz w:val="24"/>
        </w:rPr>
        <w:t xml:space="preserve"> har styrelsen i Arcede beslutat att </w:t>
      </w:r>
      <w:r w:rsidRPr="002764D6">
        <w:rPr>
          <w:rFonts w:cstheme="minorHAnsi"/>
          <w:b/>
          <w:bCs/>
          <w:sz w:val="24"/>
        </w:rPr>
        <w:t xml:space="preserve">tidigarelägga </w:t>
      </w:r>
      <w:r w:rsidR="008E238A" w:rsidRPr="002764D6">
        <w:rPr>
          <w:rFonts w:cstheme="minorHAnsi"/>
          <w:b/>
          <w:bCs/>
          <w:sz w:val="24"/>
        </w:rPr>
        <w:t>offentliggörande</w:t>
      </w:r>
      <w:r w:rsidRPr="002764D6">
        <w:rPr>
          <w:rFonts w:cstheme="minorHAnsi"/>
          <w:b/>
          <w:bCs/>
          <w:sz w:val="24"/>
        </w:rPr>
        <w:t>t</w:t>
      </w:r>
      <w:r w:rsidR="008E238A" w:rsidRPr="002764D6">
        <w:rPr>
          <w:rFonts w:cstheme="minorHAnsi"/>
          <w:b/>
          <w:bCs/>
          <w:sz w:val="24"/>
        </w:rPr>
        <w:t xml:space="preserve"> av delårsrapporten för det andra kvartalet 2023 från den </w:t>
      </w:r>
      <w:r w:rsidR="00455CA3" w:rsidRPr="002764D6">
        <w:rPr>
          <w:rFonts w:cstheme="minorHAnsi"/>
          <w:b/>
          <w:bCs/>
          <w:sz w:val="24"/>
        </w:rPr>
        <w:t>28</w:t>
      </w:r>
      <w:r w:rsidR="008E238A" w:rsidRPr="002764D6">
        <w:rPr>
          <w:rFonts w:cstheme="minorHAnsi"/>
          <w:b/>
          <w:bCs/>
          <w:sz w:val="24"/>
        </w:rPr>
        <w:t xml:space="preserve"> </w:t>
      </w:r>
      <w:r w:rsidR="00455CA3" w:rsidRPr="002764D6">
        <w:rPr>
          <w:rFonts w:cstheme="minorHAnsi"/>
          <w:b/>
          <w:bCs/>
          <w:sz w:val="24"/>
        </w:rPr>
        <w:t>augusti</w:t>
      </w:r>
      <w:r w:rsidR="008E238A" w:rsidRPr="002764D6">
        <w:rPr>
          <w:rFonts w:cstheme="minorHAnsi"/>
          <w:b/>
          <w:bCs/>
          <w:sz w:val="24"/>
        </w:rPr>
        <w:t xml:space="preserve"> 202</w:t>
      </w:r>
      <w:r w:rsidR="00455CA3" w:rsidRPr="002764D6">
        <w:rPr>
          <w:rFonts w:cstheme="minorHAnsi"/>
          <w:b/>
          <w:bCs/>
          <w:sz w:val="24"/>
        </w:rPr>
        <w:t>3</w:t>
      </w:r>
      <w:r w:rsidR="008E238A" w:rsidRPr="002764D6">
        <w:rPr>
          <w:rFonts w:cstheme="minorHAnsi"/>
          <w:b/>
          <w:bCs/>
          <w:sz w:val="24"/>
        </w:rPr>
        <w:t xml:space="preserve"> till den </w:t>
      </w:r>
      <w:r w:rsidR="00CD02C2" w:rsidRPr="002764D6">
        <w:rPr>
          <w:rFonts w:cstheme="minorHAnsi"/>
          <w:b/>
          <w:bCs/>
          <w:sz w:val="24"/>
        </w:rPr>
        <w:t>11</w:t>
      </w:r>
      <w:r w:rsidR="008E238A" w:rsidRPr="002764D6">
        <w:rPr>
          <w:rFonts w:cstheme="minorHAnsi"/>
          <w:b/>
          <w:bCs/>
          <w:sz w:val="24"/>
        </w:rPr>
        <w:t xml:space="preserve"> </w:t>
      </w:r>
      <w:r w:rsidR="00CD02C2" w:rsidRPr="002764D6">
        <w:rPr>
          <w:rFonts w:cstheme="minorHAnsi"/>
          <w:b/>
          <w:bCs/>
          <w:sz w:val="24"/>
        </w:rPr>
        <w:t>augusti</w:t>
      </w:r>
      <w:r w:rsidR="008E238A" w:rsidRPr="002764D6">
        <w:rPr>
          <w:rFonts w:cstheme="minorHAnsi"/>
          <w:b/>
          <w:bCs/>
          <w:sz w:val="24"/>
        </w:rPr>
        <w:t xml:space="preserve"> 202</w:t>
      </w:r>
      <w:r w:rsidR="00CD02C2" w:rsidRPr="002764D6">
        <w:rPr>
          <w:rFonts w:cstheme="minorHAnsi"/>
          <w:b/>
          <w:bCs/>
          <w:sz w:val="24"/>
        </w:rPr>
        <w:t>3</w:t>
      </w:r>
      <w:r w:rsidR="008E238A" w:rsidRPr="002764D6">
        <w:rPr>
          <w:rFonts w:cstheme="minorHAnsi"/>
          <w:b/>
          <w:bCs/>
          <w:sz w:val="24"/>
        </w:rPr>
        <w:t>.</w:t>
      </w:r>
    </w:p>
    <w:p w14:paraId="30DC6553" w14:textId="77777777" w:rsidR="006B1E43" w:rsidRPr="002764D6" w:rsidRDefault="006B1E43" w:rsidP="006B1E43">
      <w:pPr>
        <w:pStyle w:val="Rubrik3"/>
        <w:rPr>
          <w:rFonts w:asciiTheme="minorHAnsi" w:hAnsiTheme="minorHAnsi" w:cstheme="minorHAnsi"/>
          <w:b w:val="0"/>
          <w:sz w:val="22"/>
          <w:szCs w:val="22"/>
        </w:rPr>
      </w:pPr>
      <w:bookmarkStart w:id="0" w:name="_Hlk46330017"/>
      <w:r w:rsidRPr="002764D6">
        <w:rPr>
          <w:rFonts w:asciiTheme="minorHAnsi" w:hAnsiTheme="minorHAnsi" w:cstheme="minorHAnsi"/>
          <w:sz w:val="22"/>
          <w:szCs w:val="22"/>
        </w:rPr>
        <w:t>Bakgrund och motiv till Företrädesemissionen</w:t>
      </w:r>
    </w:p>
    <w:bookmarkEnd w:id="0"/>
    <w:p w14:paraId="32CA3B9B" w14:textId="4D662B6B" w:rsidR="006849A6" w:rsidRPr="002764D6" w:rsidRDefault="007F1C87" w:rsidP="007F1C87">
      <w:r w:rsidRPr="002764D6">
        <w:t xml:space="preserve">Arcede utvecklar kandidater till nya effektiva läkemedel mot kronisk obstruktiv lungsjukdom (KOL) och svår astma. </w:t>
      </w:r>
      <w:r w:rsidR="0061086D" w:rsidRPr="002764D6">
        <w:t xml:space="preserve">Den globala marknaden för KOL estimeras </w:t>
      </w:r>
      <w:r w:rsidR="00791544" w:rsidRPr="002764D6">
        <w:t xml:space="preserve">uppgå till 20 miljarder euro årligen </w:t>
      </w:r>
      <w:r w:rsidR="006849A6" w:rsidRPr="002764D6">
        <w:t>där n</w:t>
      </w:r>
      <w:r w:rsidR="00750FE7" w:rsidRPr="002764D6">
        <w:t>uvarande behandlingar mot KOL är förknippade</w:t>
      </w:r>
      <w:r w:rsidR="00BE5966" w:rsidRPr="002764D6">
        <w:t xml:space="preserve"> </w:t>
      </w:r>
      <w:r w:rsidR="000616A6" w:rsidRPr="002764D6">
        <w:t xml:space="preserve">med </w:t>
      </w:r>
      <w:r w:rsidR="00BE5966" w:rsidRPr="002764D6">
        <w:t xml:space="preserve">otillräckliga effekter </w:t>
      </w:r>
      <w:r w:rsidR="000616A6" w:rsidRPr="002764D6">
        <w:t>samt</w:t>
      </w:r>
      <w:r w:rsidR="00BE5966" w:rsidRPr="002764D6">
        <w:t xml:space="preserve"> biverknin</w:t>
      </w:r>
      <w:r w:rsidR="000616A6" w:rsidRPr="002764D6">
        <w:t>gar</w:t>
      </w:r>
      <w:r w:rsidR="006849A6" w:rsidRPr="002764D6">
        <w:t>.</w:t>
      </w:r>
      <w:r w:rsidR="000616A6" w:rsidRPr="002764D6">
        <w:t xml:space="preserve"> </w:t>
      </w:r>
      <w:r w:rsidR="006849A6" w:rsidRPr="002764D6">
        <w:t>M</w:t>
      </w:r>
      <w:r w:rsidR="00FB1924" w:rsidRPr="002764D6">
        <w:t>er än 3 miljoner</w:t>
      </w:r>
      <w:r w:rsidR="003E5DEB" w:rsidRPr="002764D6">
        <w:t xml:space="preserve"> människor dör </w:t>
      </w:r>
      <w:r w:rsidR="006849A6" w:rsidRPr="002764D6">
        <w:t xml:space="preserve">varje år </w:t>
      </w:r>
      <w:r w:rsidR="003E5DEB" w:rsidRPr="002764D6">
        <w:t>av sjukdomen</w:t>
      </w:r>
      <w:r w:rsidR="00832AC4" w:rsidRPr="002764D6">
        <w:t xml:space="preserve"> och </w:t>
      </w:r>
      <w:r w:rsidR="0065596A" w:rsidRPr="002764D6">
        <w:t xml:space="preserve">den </w:t>
      </w:r>
      <w:proofErr w:type="gramStart"/>
      <w:r w:rsidR="001653FC" w:rsidRPr="002764D6">
        <w:t>Europeiska</w:t>
      </w:r>
      <w:proofErr w:type="gramEnd"/>
      <w:r w:rsidR="00BE5B6F" w:rsidRPr="002764D6">
        <w:t xml:space="preserve"> läkemedels</w:t>
      </w:r>
      <w:r w:rsidR="0065596A" w:rsidRPr="002764D6">
        <w:t>myndigheten</w:t>
      </w:r>
      <w:r w:rsidR="00BE5B6F" w:rsidRPr="002764D6">
        <w:t xml:space="preserve"> (</w:t>
      </w:r>
      <w:r w:rsidR="00832AC4" w:rsidRPr="002764D6">
        <w:t>EMA</w:t>
      </w:r>
      <w:r w:rsidR="00BE5B6F" w:rsidRPr="002764D6">
        <w:t>)</w:t>
      </w:r>
      <w:r w:rsidR="00832AC4" w:rsidRPr="002764D6">
        <w:t xml:space="preserve"> </w:t>
      </w:r>
      <w:r w:rsidR="008603B7" w:rsidRPr="002764D6">
        <w:t>har identifierat e</w:t>
      </w:r>
      <w:r w:rsidR="00CE17BC" w:rsidRPr="002764D6">
        <w:t xml:space="preserve">tt stort </w:t>
      </w:r>
      <w:r w:rsidR="00D364D4" w:rsidRPr="002764D6">
        <w:t>ouppfyllt</w:t>
      </w:r>
      <w:r w:rsidR="00CE17BC" w:rsidRPr="002764D6">
        <w:t xml:space="preserve"> medicinskt behov</w:t>
      </w:r>
      <w:r w:rsidR="0065596A" w:rsidRPr="002764D6">
        <w:t xml:space="preserve"> </w:t>
      </w:r>
      <w:r w:rsidR="00D364D4" w:rsidRPr="002764D6">
        <w:t>för indikationen</w:t>
      </w:r>
      <w:r w:rsidR="00CE17BC" w:rsidRPr="002764D6">
        <w:t xml:space="preserve">. </w:t>
      </w:r>
    </w:p>
    <w:p w14:paraId="4BBAC72A" w14:textId="2B3133A3" w:rsidR="00A41D4F" w:rsidRPr="002764D6" w:rsidRDefault="00CE17BC" w:rsidP="006B1E43">
      <w:proofErr w:type="spellStart"/>
      <w:r w:rsidRPr="002764D6">
        <w:t>Arcedes</w:t>
      </w:r>
      <w:proofErr w:type="spellEnd"/>
      <w:r w:rsidR="006849A6" w:rsidRPr="002764D6">
        <w:t xml:space="preserve"> primära projekt</w:t>
      </w:r>
      <w:r w:rsidR="00F33DF4" w:rsidRPr="002764D6">
        <w:t xml:space="preserve"> utgörs av</w:t>
      </w:r>
      <w:r w:rsidR="00237BB0" w:rsidRPr="002764D6">
        <w:t xml:space="preserve"> </w:t>
      </w:r>
      <w:r w:rsidR="00572AAA" w:rsidRPr="002764D6">
        <w:t xml:space="preserve">läkemedelskandidaten </w:t>
      </w:r>
      <w:r w:rsidR="006849A6" w:rsidRPr="002764D6">
        <w:t>RCD405</w:t>
      </w:r>
      <w:r w:rsidR="00572AAA" w:rsidRPr="002764D6">
        <w:t>,</w:t>
      </w:r>
      <w:r w:rsidR="006849A6" w:rsidRPr="002764D6">
        <w:t xml:space="preserve"> </w:t>
      </w:r>
      <w:r w:rsidR="00F51548" w:rsidRPr="002764D6">
        <w:t xml:space="preserve">som </w:t>
      </w:r>
      <w:r w:rsidR="006849A6" w:rsidRPr="002764D6">
        <w:t xml:space="preserve">har en unik verkningsmekanism </w:t>
      </w:r>
      <w:r w:rsidR="00F51548" w:rsidRPr="002764D6">
        <w:t xml:space="preserve">vilken </w:t>
      </w:r>
      <w:r w:rsidR="006849A6" w:rsidRPr="002764D6">
        <w:t>resulterar i antiinflammation och utvidgade luftvägar</w:t>
      </w:r>
      <w:r w:rsidR="009F2243" w:rsidRPr="002764D6">
        <w:t>.</w:t>
      </w:r>
      <w:r w:rsidRPr="002764D6">
        <w:t xml:space="preserve"> </w:t>
      </w:r>
      <w:r w:rsidR="009F2243" w:rsidRPr="002764D6">
        <w:t xml:space="preserve">Detta </w:t>
      </w:r>
      <w:r w:rsidRPr="002764D6">
        <w:t>f</w:t>
      </w:r>
      <w:r w:rsidR="009F2243" w:rsidRPr="002764D6">
        <w:t xml:space="preserve">örväntas </w:t>
      </w:r>
      <w:r w:rsidR="004F7566" w:rsidRPr="002764D6">
        <w:t xml:space="preserve">minska och förbättra symptomen, </w:t>
      </w:r>
      <w:r w:rsidR="009F2243" w:rsidRPr="002764D6">
        <w:t>förbättra livskvaliteten</w:t>
      </w:r>
      <w:r w:rsidR="004F7566" w:rsidRPr="002764D6">
        <w:t xml:space="preserve"> </w:t>
      </w:r>
      <w:r w:rsidR="00FC03AF" w:rsidRPr="002764D6">
        <w:t xml:space="preserve">och </w:t>
      </w:r>
      <w:r w:rsidR="00FD4C98" w:rsidRPr="002764D6">
        <w:t>därmed</w:t>
      </w:r>
      <w:r w:rsidR="004F7566" w:rsidRPr="002764D6">
        <w:t xml:space="preserve"> förlänga överlevnaden</w:t>
      </w:r>
      <w:r w:rsidR="009F2243" w:rsidRPr="002764D6">
        <w:t xml:space="preserve"> för KOL-patienter,</w:t>
      </w:r>
      <w:r w:rsidR="004F5154" w:rsidRPr="002764D6">
        <w:t xml:space="preserve"> </w:t>
      </w:r>
      <w:r w:rsidR="00D51F87" w:rsidRPr="002764D6">
        <w:t>vilket</w:t>
      </w:r>
      <w:r w:rsidR="004F5154" w:rsidRPr="002764D6">
        <w:t xml:space="preserve"> även</w:t>
      </w:r>
      <w:r w:rsidR="009F2243" w:rsidRPr="002764D6">
        <w:t xml:space="preserve"> resulterar i sänkta vårdkostnader</w:t>
      </w:r>
      <w:r w:rsidR="004F5154" w:rsidRPr="002764D6">
        <w:t xml:space="preserve"> för samhället. </w:t>
      </w:r>
      <w:r w:rsidR="00D77B73" w:rsidRPr="002764D6">
        <w:t xml:space="preserve">Under </w:t>
      </w:r>
      <w:r w:rsidR="00F779E5" w:rsidRPr="002764D6">
        <w:t>det senaste året har Bolaget</w:t>
      </w:r>
      <w:r w:rsidR="001653FC" w:rsidRPr="002764D6">
        <w:t>:</w:t>
      </w:r>
      <w:r w:rsidR="004D578D" w:rsidRPr="002764D6">
        <w:t xml:space="preserve"> </w:t>
      </w:r>
    </w:p>
    <w:p w14:paraId="389D301F" w14:textId="1996ADB0" w:rsidR="00A41D4F" w:rsidRPr="002764D6" w:rsidRDefault="004D578D" w:rsidP="00B21597">
      <w:pPr>
        <w:pStyle w:val="Liststycke"/>
        <w:numPr>
          <w:ilvl w:val="0"/>
          <w:numId w:val="3"/>
        </w:numPr>
      </w:pPr>
      <w:r w:rsidRPr="002764D6">
        <w:t>inlett samarbete med två ledande forskare inom KOL/astma-området</w:t>
      </w:r>
      <w:r w:rsidR="001653FC" w:rsidRPr="002764D6">
        <w:t>;</w:t>
      </w:r>
      <w:r w:rsidR="00F01FA4" w:rsidRPr="002764D6">
        <w:t xml:space="preserve"> </w:t>
      </w:r>
    </w:p>
    <w:p w14:paraId="49AEE1AC" w14:textId="4A815410" w:rsidR="00A41D4F" w:rsidRPr="002764D6" w:rsidRDefault="00F01FA4" w:rsidP="00B21597">
      <w:pPr>
        <w:pStyle w:val="Liststycke"/>
        <w:numPr>
          <w:ilvl w:val="0"/>
          <w:numId w:val="3"/>
        </w:numPr>
      </w:pPr>
      <w:r w:rsidRPr="002764D6">
        <w:t>genomfört större delen av det toxikologiska programmet</w:t>
      </w:r>
      <w:r w:rsidR="00F067BA">
        <w:t xml:space="preserve"> som krävs för start och genomförande av klinisk fas 1</w:t>
      </w:r>
      <w:r w:rsidR="001653FC" w:rsidRPr="002764D6">
        <w:t>;</w:t>
      </w:r>
      <w:r w:rsidR="00913F45" w:rsidRPr="002764D6">
        <w:t xml:space="preserve"> </w:t>
      </w:r>
    </w:p>
    <w:p w14:paraId="2654854A" w14:textId="2EFBFB1A" w:rsidR="00A41D4F" w:rsidRPr="002764D6" w:rsidRDefault="00913F45" w:rsidP="00B21597">
      <w:pPr>
        <w:pStyle w:val="Liststycke"/>
        <w:numPr>
          <w:ilvl w:val="0"/>
          <w:numId w:val="3"/>
        </w:numPr>
      </w:pPr>
      <w:r w:rsidRPr="002764D6">
        <w:t xml:space="preserve">genererat </w:t>
      </w:r>
      <w:r w:rsidR="00973BD9" w:rsidRPr="002764D6">
        <w:t xml:space="preserve">viktiga initiala data vad gäller substansens farmakokinetiska egenskaper, </w:t>
      </w:r>
      <w:r w:rsidR="00A41D4F" w:rsidRPr="002764D6">
        <w:t>det vill säga</w:t>
      </w:r>
      <w:r w:rsidR="00973BD9" w:rsidRPr="002764D6">
        <w:t xml:space="preserve"> hur RCD405 omsätts i kroppen</w:t>
      </w:r>
      <w:r w:rsidR="001653FC" w:rsidRPr="002764D6">
        <w:t>;</w:t>
      </w:r>
      <w:r w:rsidR="00973BD9" w:rsidRPr="002764D6">
        <w:t xml:space="preserve"> </w:t>
      </w:r>
    </w:p>
    <w:p w14:paraId="1BE68F46" w14:textId="7BD86290" w:rsidR="00BC3578" w:rsidRPr="002764D6" w:rsidRDefault="00973BD9" w:rsidP="00A41D4F">
      <w:pPr>
        <w:pStyle w:val="Liststycke"/>
        <w:numPr>
          <w:ilvl w:val="0"/>
          <w:numId w:val="3"/>
        </w:numPr>
      </w:pPr>
      <w:r w:rsidRPr="002764D6">
        <w:t>definierat olika möjliga formuleringar som möjliggör dosering av båd</w:t>
      </w:r>
      <w:r w:rsidR="00520715" w:rsidRPr="002764D6">
        <w:t>e</w:t>
      </w:r>
      <w:r w:rsidRPr="002764D6">
        <w:t xml:space="preserve"> låga och höga doser i klini</w:t>
      </w:r>
      <w:r w:rsidR="00AF486B" w:rsidRPr="002764D6">
        <w:t>sk fas</w:t>
      </w:r>
      <w:r w:rsidR="001653FC" w:rsidRPr="002764D6">
        <w:t>; och</w:t>
      </w:r>
      <w:r w:rsidRPr="002764D6">
        <w:t xml:space="preserve"> </w:t>
      </w:r>
    </w:p>
    <w:p w14:paraId="2F8A78AD" w14:textId="6AF6DF6F" w:rsidR="007F1C87" w:rsidRPr="002764D6" w:rsidRDefault="00D67B69" w:rsidP="00A41D4F">
      <w:pPr>
        <w:pStyle w:val="Liststycke"/>
        <w:numPr>
          <w:ilvl w:val="0"/>
          <w:numId w:val="3"/>
        </w:numPr>
      </w:pPr>
      <w:r w:rsidRPr="002764D6">
        <w:t>utfört</w:t>
      </w:r>
      <w:r w:rsidR="00D418A2" w:rsidRPr="002764D6">
        <w:t xml:space="preserve"> ytterligare </w:t>
      </w:r>
      <w:r w:rsidRPr="002764D6">
        <w:t>säkerhets</w:t>
      </w:r>
      <w:r w:rsidR="009C6A04" w:rsidRPr="002764D6">
        <w:t xml:space="preserve">studier samt </w:t>
      </w:r>
      <w:r w:rsidRPr="002764D6">
        <w:t xml:space="preserve">farmakologiska </w:t>
      </w:r>
      <w:r w:rsidR="00D418A2" w:rsidRPr="002764D6">
        <w:t>studier</w:t>
      </w:r>
      <w:r w:rsidR="009C6A04" w:rsidRPr="002764D6">
        <w:t xml:space="preserve">. </w:t>
      </w:r>
    </w:p>
    <w:p w14:paraId="41240F74" w14:textId="77777777" w:rsidR="00A41D4F" w:rsidRPr="002764D6" w:rsidRDefault="00A41D4F" w:rsidP="00A41D4F"/>
    <w:p w14:paraId="40057223" w14:textId="5ABD6FA0" w:rsidR="00D147FA" w:rsidRPr="002764D6" w:rsidRDefault="007B60EF" w:rsidP="006B1E43">
      <w:r w:rsidRPr="002764D6">
        <w:lastRenderedPageBreak/>
        <w:t xml:space="preserve">Det är </w:t>
      </w:r>
      <w:r w:rsidR="00D715F4" w:rsidRPr="002764D6">
        <w:t>styrels</w:t>
      </w:r>
      <w:r w:rsidR="001F0141" w:rsidRPr="002764D6">
        <w:t>ens</w:t>
      </w:r>
      <w:r w:rsidRPr="002764D6">
        <w:t xml:space="preserve"> bedömning att det befintliga rörelsekapitalet inte är tillräckligt för</w:t>
      </w:r>
      <w:r w:rsidR="00D715F4" w:rsidRPr="002764D6">
        <w:t xml:space="preserve"> Bolagets </w:t>
      </w:r>
      <w:r w:rsidR="001F0141" w:rsidRPr="002764D6">
        <w:t xml:space="preserve">aktuella behov </w:t>
      </w:r>
      <w:r w:rsidR="00FC7705" w:rsidRPr="002764D6">
        <w:t>och</w:t>
      </w:r>
      <w:r w:rsidR="004B2D05" w:rsidRPr="002764D6">
        <w:t xml:space="preserve"> att en kapitalinjektion nu krävs</w:t>
      </w:r>
      <w:r w:rsidR="001D1AA8" w:rsidRPr="002764D6">
        <w:t xml:space="preserve"> för att säkerställa att projektet</w:t>
      </w:r>
      <w:r w:rsidR="00256BB5" w:rsidRPr="002764D6">
        <w:t xml:space="preserve"> fortsatt</w:t>
      </w:r>
      <w:r w:rsidR="001D1AA8" w:rsidRPr="002764D6">
        <w:t xml:space="preserve"> kan avancera i hög takt mot</w:t>
      </w:r>
      <w:r w:rsidR="00B96736" w:rsidRPr="002764D6">
        <w:t xml:space="preserve"> näst</w:t>
      </w:r>
      <w:r w:rsidR="00E4134C" w:rsidRPr="002764D6">
        <w:t>a</w:t>
      </w:r>
      <w:r w:rsidR="00B96736" w:rsidRPr="002764D6">
        <w:t xml:space="preserve"> värdehöjande milstolpe</w:t>
      </w:r>
      <w:r w:rsidR="007C21F6" w:rsidRPr="002764D6">
        <w:t>.</w:t>
      </w:r>
      <w:r w:rsidR="00B96736" w:rsidRPr="002764D6">
        <w:t xml:space="preserve"> </w:t>
      </w:r>
      <w:r w:rsidR="007D0DFC" w:rsidRPr="002764D6">
        <w:t xml:space="preserve">För att slutföra förberedelserna </w:t>
      </w:r>
      <w:r w:rsidR="00C711FE" w:rsidRPr="002764D6">
        <w:t>inför kliniska studier skall e</w:t>
      </w:r>
      <w:r w:rsidR="007C21F6" w:rsidRPr="002764D6">
        <w:t>missionslikviden</w:t>
      </w:r>
      <w:r w:rsidR="007D0DFC" w:rsidRPr="002764D6">
        <w:t xml:space="preserve"> </w:t>
      </w:r>
      <w:r w:rsidR="00C711FE" w:rsidRPr="002764D6">
        <w:t>främst</w:t>
      </w:r>
      <w:r w:rsidR="00195512" w:rsidRPr="002764D6">
        <w:t xml:space="preserve"> </w:t>
      </w:r>
      <w:r w:rsidR="00D147FA" w:rsidRPr="002764D6">
        <w:t>finansiera de sista delarna av formuleringsoptimeringen och ytterligare ett antal prekliniska studier som möjliggör och underlättar de kliniska dos-prediktionerna.</w:t>
      </w:r>
      <w:r w:rsidR="00F85A0F" w:rsidRPr="002764D6">
        <w:t xml:space="preserve"> </w:t>
      </w:r>
      <w:r w:rsidR="00650945" w:rsidRPr="002764D6">
        <w:t xml:space="preserve">Studierna behöver genomföras innan </w:t>
      </w:r>
      <w:r w:rsidR="004F7566" w:rsidRPr="002764D6">
        <w:t>läkemedels</w:t>
      </w:r>
      <w:r w:rsidR="00650945" w:rsidRPr="002764D6">
        <w:t xml:space="preserve">myndigheterna </w:t>
      </w:r>
      <w:r w:rsidR="00B011A8" w:rsidRPr="002764D6">
        <w:t>kan godkänna att en klinisk fas</w:t>
      </w:r>
      <w:r w:rsidR="00F71E40" w:rsidRPr="002764D6">
        <w:t xml:space="preserve"> 1-studie påbörjas. </w:t>
      </w:r>
      <w:r w:rsidR="0027757C" w:rsidRPr="002764D6">
        <w:t xml:space="preserve">Det inledande arbetet för att få </w:t>
      </w:r>
      <w:r w:rsidR="00191295" w:rsidRPr="002764D6">
        <w:t>all regulatorisk dokumentation på plats, inklusive ett samarbete med</w:t>
      </w:r>
      <w:r w:rsidR="00CC2BA3" w:rsidRPr="002764D6">
        <w:t xml:space="preserve"> e</w:t>
      </w:r>
      <w:r w:rsidR="004F7566" w:rsidRPr="002764D6">
        <w:t>tt</w:t>
      </w:r>
      <w:r w:rsidR="00726033" w:rsidRPr="002764D6">
        <w:t xml:space="preserve"> klinisk</w:t>
      </w:r>
      <w:r w:rsidR="004F7566" w:rsidRPr="002764D6">
        <w:t>t</w:t>
      </w:r>
      <w:r w:rsidR="00726033" w:rsidRPr="002764D6">
        <w:t xml:space="preserve"> </w:t>
      </w:r>
      <w:r w:rsidR="004F7566" w:rsidRPr="002764D6">
        <w:t xml:space="preserve">kontraktsforskningslaboratorium </w:t>
      </w:r>
      <w:r w:rsidR="00726033" w:rsidRPr="002764D6">
        <w:t>som kan utföra den tilltänkta kliniska studien</w:t>
      </w:r>
      <w:r w:rsidR="00AF5D52" w:rsidRPr="002764D6">
        <w:t xml:space="preserve">, </w:t>
      </w:r>
      <w:r w:rsidR="00A97D21" w:rsidRPr="002764D6">
        <w:t>kan också</w:t>
      </w:r>
      <w:r w:rsidR="00AF5D52" w:rsidRPr="002764D6">
        <w:t xml:space="preserve"> påbörjas. </w:t>
      </w:r>
    </w:p>
    <w:p w14:paraId="79D819C8" w14:textId="02E6063E" w:rsidR="006B1E43" w:rsidRPr="002764D6" w:rsidRDefault="006B1E43" w:rsidP="00A23A5A">
      <w:pPr>
        <w:autoSpaceDE w:val="0"/>
        <w:autoSpaceDN w:val="0"/>
        <w:adjustRightInd w:val="0"/>
        <w:spacing w:line="233" w:lineRule="atLeast"/>
        <w:rPr>
          <w:rFonts w:cstheme="minorHAnsi"/>
          <w:color w:val="000000"/>
        </w:rPr>
      </w:pPr>
      <w:r w:rsidRPr="002764D6">
        <w:rPr>
          <w:rFonts w:cstheme="minorHAnsi"/>
          <w:color w:val="000000"/>
        </w:rPr>
        <w:t xml:space="preserve">För att säkerställa </w:t>
      </w:r>
      <w:r w:rsidR="00E240D4" w:rsidRPr="002764D6">
        <w:rPr>
          <w:rFonts w:cstheme="minorHAnsi"/>
          <w:color w:val="000000"/>
        </w:rPr>
        <w:t xml:space="preserve">projektets </w:t>
      </w:r>
      <w:r w:rsidR="00627EF1" w:rsidRPr="002764D6">
        <w:rPr>
          <w:rFonts w:cstheme="minorHAnsi"/>
          <w:color w:val="000000"/>
        </w:rPr>
        <w:t xml:space="preserve">utveckling enligt ovan </w:t>
      </w:r>
      <w:r w:rsidRPr="002764D6">
        <w:rPr>
          <w:rFonts w:cstheme="minorHAnsi"/>
          <w:color w:val="000000"/>
        </w:rPr>
        <w:t xml:space="preserve">har styrelsen beslutat att genomföra </w:t>
      </w:r>
      <w:r w:rsidRPr="002764D6">
        <w:rPr>
          <w:rFonts w:cstheme="minorHAnsi"/>
        </w:rPr>
        <w:t xml:space="preserve">Företrädesemissionen. </w:t>
      </w:r>
      <w:r w:rsidRPr="002764D6">
        <w:rPr>
          <w:rFonts w:cstheme="minorHAnsi"/>
          <w:color w:val="000000"/>
        </w:rPr>
        <w:t xml:space="preserve">Vid full teckning beräknas Företrädesemissionen tillföra </w:t>
      </w:r>
      <w:r w:rsidR="003B74B9" w:rsidRPr="002764D6">
        <w:rPr>
          <w:rFonts w:cstheme="minorHAnsi"/>
          <w:color w:val="000000"/>
        </w:rPr>
        <w:t>Arcede</w:t>
      </w:r>
      <w:r w:rsidRPr="002764D6">
        <w:rPr>
          <w:rFonts w:cstheme="minorHAnsi"/>
          <w:color w:val="000000"/>
        </w:rPr>
        <w:t xml:space="preserve"> cirka </w:t>
      </w:r>
      <w:r w:rsidR="00154F52">
        <w:rPr>
          <w:rFonts w:cstheme="minorHAnsi"/>
          <w:color w:val="000000"/>
        </w:rPr>
        <w:t>11,4</w:t>
      </w:r>
      <w:r w:rsidR="00B12690" w:rsidRPr="002764D6">
        <w:rPr>
          <w:rFonts w:cstheme="minorHAnsi"/>
          <w:color w:val="000000"/>
        </w:rPr>
        <w:t xml:space="preserve"> </w:t>
      </w:r>
      <w:r w:rsidRPr="002764D6">
        <w:rPr>
          <w:rFonts w:cstheme="minorHAnsi"/>
          <w:color w:val="000000"/>
        </w:rPr>
        <w:t xml:space="preserve">MSEK, efter avdrag för emissionskostnader om cirka </w:t>
      </w:r>
      <w:r w:rsidR="00154F52">
        <w:rPr>
          <w:rFonts w:cstheme="minorHAnsi"/>
          <w:color w:val="000000"/>
        </w:rPr>
        <w:t>1,8</w:t>
      </w:r>
      <w:r w:rsidRPr="002764D6">
        <w:rPr>
          <w:rFonts w:cstheme="minorHAnsi"/>
          <w:color w:val="000000"/>
        </w:rPr>
        <w:t xml:space="preserve"> MSEK. Nettolikviden avses att användas enligt nedan prioriterad ordning:</w:t>
      </w:r>
    </w:p>
    <w:p w14:paraId="4E89D00C" w14:textId="6FFDDFCF" w:rsidR="007816F7" w:rsidRPr="00C14642" w:rsidRDefault="007816F7" w:rsidP="007816F7">
      <w:pPr>
        <w:pStyle w:val="Liststycke"/>
        <w:numPr>
          <w:ilvl w:val="0"/>
          <w:numId w:val="2"/>
        </w:numPr>
      </w:pPr>
      <w:r w:rsidRPr="00C14642">
        <w:t>Forskning (preklinisk)</w:t>
      </w:r>
      <w:r w:rsidR="00784007" w:rsidRPr="00C14642">
        <w:t xml:space="preserve">, </w:t>
      </w:r>
      <w:r w:rsidR="00AD1E97" w:rsidRPr="00C14642">
        <w:t>cirka 30 procent</w:t>
      </w:r>
      <w:r w:rsidR="00714E65" w:rsidRPr="00C14642">
        <w:t>.</w:t>
      </w:r>
    </w:p>
    <w:p w14:paraId="10AD84BC" w14:textId="4D8A2FBF" w:rsidR="007816F7" w:rsidRPr="00C14642" w:rsidRDefault="007816F7" w:rsidP="007816F7">
      <w:pPr>
        <w:pStyle w:val="Liststycke"/>
        <w:numPr>
          <w:ilvl w:val="0"/>
          <w:numId w:val="2"/>
        </w:numPr>
      </w:pPr>
      <w:r w:rsidRPr="00C14642">
        <w:t>Formulering av läkemedel</w:t>
      </w:r>
      <w:r w:rsidR="00784007" w:rsidRPr="00C14642">
        <w:t>,</w:t>
      </w:r>
      <w:r w:rsidR="001B04C5" w:rsidRPr="00C14642">
        <w:t xml:space="preserve"> </w:t>
      </w:r>
      <w:r w:rsidR="004B5BBC" w:rsidRPr="00C14642">
        <w:t xml:space="preserve">cirka </w:t>
      </w:r>
      <w:r w:rsidR="00C14642">
        <w:t>50</w:t>
      </w:r>
      <w:r w:rsidR="00C14642" w:rsidRPr="00C14642">
        <w:t xml:space="preserve"> </w:t>
      </w:r>
      <w:r w:rsidR="001B04C5" w:rsidRPr="00C14642">
        <w:t>procen</w:t>
      </w:r>
      <w:r w:rsidR="005D6586" w:rsidRPr="00C14642">
        <w:t>t</w:t>
      </w:r>
      <w:r w:rsidR="00714E65" w:rsidRPr="00C14642">
        <w:t>.</w:t>
      </w:r>
    </w:p>
    <w:p w14:paraId="21059292" w14:textId="3C28F345" w:rsidR="00297CAD" w:rsidRPr="00C14642" w:rsidRDefault="00297CAD" w:rsidP="00297CAD">
      <w:pPr>
        <w:pStyle w:val="Liststycke"/>
        <w:numPr>
          <w:ilvl w:val="0"/>
          <w:numId w:val="2"/>
        </w:numPr>
      </w:pPr>
      <w:r w:rsidRPr="00C14642">
        <w:t>Förberedelse klinisk fas</w:t>
      </w:r>
      <w:r w:rsidR="00784007" w:rsidRPr="00C14642">
        <w:t>,</w:t>
      </w:r>
      <w:r w:rsidR="005D6586" w:rsidRPr="00C14642">
        <w:t xml:space="preserve"> </w:t>
      </w:r>
      <w:r w:rsidR="004B5BBC" w:rsidRPr="00C14642">
        <w:t xml:space="preserve">cirka </w:t>
      </w:r>
      <w:r w:rsidR="005D6586" w:rsidRPr="00C14642">
        <w:t>10 procent</w:t>
      </w:r>
      <w:r w:rsidR="00714E65" w:rsidRPr="00C14642">
        <w:t>.</w:t>
      </w:r>
    </w:p>
    <w:p w14:paraId="59539DF5" w14:textId="49568735" w:rsidR="006243E0" w:rsidRPr="00C14642" w:rsidRDefault="00297CAD" w:rsidP="006243E0">
      <w:pPr>
        <w:pStyle w:val="Liststycke"/>
        <w:numPr>
          <w:ilvl w:val="0"/>
          <w:numId w:val="2"/>
        </w:numPr>
      </w:pPr>
      <w:r w:rsidRPr="00C14642">
        <w:t>Affärsutveckling</w:t>
      </w:r>
      <w:r w:rsidR="00D66758">
        <w:t xml:space="preserve"> och rörelsekapital</w:t>
      </w:r>
      <w:r w:rsidR="00784007" w:rsidRPr="00C14642">
        <w:t xml:space="preserve">, </w:t>
      </w:r>
      <w:r w:rsidR="004B5BBC" w:rsidRPr="00C14642">
        <w:t>cirka 1</w:t>
      </w:r>
      <w:r w:rsidR="00D66758">
        <w:t>0</w:t>
      </w:r>
      <w:r w:rsidR="004B5BBC" w:rsidRPr="00C14642">
        <w:t xml:space="preserve"> procent</w:t>
      </w:r>
      <w:r w:rsidR="00714E65" w:rsidRPr="00C14642">
        <w:t>.</w:t>
      </w:r>
      <w:r w:rsidR="00784007" w:rsidRPr="00C14642">
        <w:t xml:space="preserve"> </w:t>
      </w:r>
    </w:p>
    <w:p w14:paraId="794FB73C" w14:textId="77777777" w:rsidR="00CA142C" w:rsidRPr="002764D6" w:rsidRDefault="00CA142C" w:rsidP="00CA142C"/>
    <w:p w14:paraId="509CF796" w14:textId="7D701FD6" w:rsidR="006243E0" w:rsidRPr="002764D6" w:rsidRDefault="001727F4" w:rsidP="006243E0">
      <w:r w:rsidRPr="002764D6">
        <w:t xml:space="preserve">För det fall samtliga teckningsoptioner serie TO 1 som utges i Företrädesemissionen utnyttjas för teckning av aktier kommer Bolaget i januari 2024 att tillföras ytterligare högst cirka </w:t>
      </w:r>
      <w:r w:rsidR="0050677F">
        <w:t>12,8</w:t>
      </w:r>
      <w:r w:rsidRPr="002764D6">
        <w:t xml:space="preserve"> MSEK, efter avdrag för </w:t>
      </w:r>
      <w:r w:rsidR="00534E49" w:rsidRPr="002764D6">
        <w:t>emissionskostnader</w:t>
      </w:r>
      <w:r w:rsidRPr="002764D6">
        <w:t xml:space="preserve"> om cirka </w:t>
      </w:r>
      <w:r w:rsidR="0050677F">
        <w:t>0,4</w:t>
      </w:r>
      <w:r w:rsidRPr="002764D6">
        <w:t xml:space="preserve"> MSEK. </w:t>
      </w:r>
      <w:proofErr w:type="spellStart"/>
      <w:r w:rsidRPr="002764D6">
        <w:t>Netto</w:t>
      </w:r>
      <w:r w:rsidR="004F2149" w:rsidRPr="002764D6">
        <w:t>I</w:t>
      </w:r>
      <w:r w:rsidRPr="002764D6">
        <w:t>ikviden</w:t>
      </w:r>
      <w:proofErr w:type="spellEnd"/>
      <w:r w:rsidRPr="002764D6">
        <w:t xml:space="preserve"> från u</w:t>
      </w:r>
      <w:r w:rsidR="004F2149" w:rsidRPr="002764D6">
        <w:t xml:space="preserve">tnyttjande av teckningsoptioner serie TO </w:t>
      </w:r>
      <w:r w:rsidR="00CA142C" w:rsidRPr="002764D6">
        <w:t>1</w:t>
      </w:r>
      <w:r w:rsidR="004F2149" w:rsidRPr="002764D6">
        <w:t xml:space="preserve"> avses att utnyttjas för </w:t>
      </w:r>
      <w:r w:rsidR="00A4545F" w:rsidRPr="00C10FF8">
        <w:t>fortsatt utveckling av</w:t>
      </w:r>
      <w:r w:rsidR="004750E6" w:rsidRPr="00C10FF8">
        <w:t xml:space="preserve"> projektet</w:t>
      </w:r>
      <w:r w:rsidR="00794A23" w:rsidRPr="00C10FF8">
        <w:t>.</w:t>
      </w:r>
      <w:r w:rsidR="00794A23" w:rsidRPr="002764D6">
        <w:t xml:space="preserve"> </w:t>
      </w:r>
      <w:r w:rsidR="004F2149" w:rsidRPr="002764D6">
        <w:t xml:space="preserve"> </w:t>
      </w:r>
    </w:p>
    <w:p w14:paraId="12E64E50" w14:textId="77777777" w:rsidR="006B1E43" w:rsidRPr="002764D6" w:rsidRDefault="006B1E43" w:rsidP="006B1E43">
      <w:pPr>
        <w:pStyle w:val="Rubrik3"/>
        <w:rPr>
          <w:rFonts w:asciiTheme="minorHAnsi" w:hAnsiTheme="minorHAnsi" w:cstheme="minorHAnsi"/>
          <w:sz w:val="22"/>
          <w:szCs w:val="22"/>
        </w:rPr>
      </w:pPr>
      <w:r w:rsidRPr="002764D6">
        <w:rPr>
          <w:rFonts w:asciiTheme="minorHAnsi" w:hAnsiTheme="minorHAnsi" w:cstheme="minorHAnsi"/>
          <w:sz w:val="22"/>
          <w:szCs w:val="22"/>
        </w:rPr>
        <w:t>Villkor för Företrädesemissionen</w:t>
      </w:r>
    </w:p>
    <w:p w14:paraId="2857020B" w14:textId="5CAEC338" w:rsidR="006B1E43" w:rsidRPr="002764D6" w:rsidRDefault="006B1E43" w:rsidP="006B1E43">
      <w:r w:rsidRPr="002764D6">
        <w:t xml:space="preserve">Styrelsen i </w:t>
      </w:r>
      <w:r w:rsidR="00F4761F" w:rsidRPr="002764D6">
        <w:t>Arcede</w:t>
      </w:r>
      <w:r w:rsidRPr="002764D6">
        <w:t xml:space="preserve"> beslutade den </w:t>
      </w:r>
      <w:r w:rsidR="00662603" w:rsidRPr="002764D6">
        <w:t>14</w:t>
      </w:r>
      <w:r w:rsidRPr="002764D6">
        <w:t xml:space="preserve"> </w:t>
      </w:r>
      <w:r w:rsidR="00662603" w:rsidRPr="002764D6">
        <w:t>juli</w:t>
      </w:r>
      <w:r w:rsidRPr="002764D6">
        <w:t xml:space="preserve"> 202</w:t>
      </w:r>
      <w:r w:rsidR="00662603" w:rsidRPr="002764D6">
        <w:t>3</w:t>
      </w:r>
      <w:r w:rsidRPr="002764D6">
        <w:t xml:space="preserve">, villkorat av </w:t>
      </w:r>
      <w:r w:rsidR="001727F4" w:rsidRPr="002764D6">
        <w:t xml:space="preserve">efterföljande </w:t>
      </w:r>
      <w:r w:rsidRPr="002764D6">
        <w:t xml:space="preserve">godkännande vid extra bolagsstämma den </w:t>
      </w:r>
      <w:r w:rsidR="00B27F8F">
        <w:t>17</w:t>
      </w:r>
      <w:r w:rsidRPr="002764D6">
        <w:t xml:space="preserve"> </w:t>
      </w:r>
      <w:r w:rsidR="00662603" w:rsidRPr="002764D6">
        <w:t>augusti</w:t>
      </w:r>
      <w:r w:rsidRPr="002764D6">
        <w:t xml:space="preserve"> 202</w:t>
      </w:r>
      <w:r w:rsidR="00662603" w:rsidRPr="002764D6">
        <w:t>3</w:t>
      </w:r>
      <w:r w:rsidRPr="002764D6">
        <w:t>, att genomföra Företrädesemissionen i enlighet med nedan huvudsakliga villkor:</w:t>
      </w:r>
    </w:p>
    <w:p w14:paraId="2CF63591" w14:textId="26B83254" w:rsidR="006B1E43" w:rsidRPr="002764D6" w:rsidRDefault="006B1E43" w:rsidP="006B1E43">
      <w:pPr>
        <w:pStyle w:val="Liststycke"/>
        <w:numPr>
          <w:ilvl w:val="0"/>
          <w:numId w:val="1"/>
        </w:numPr>
      </w:pPr>
      <w:r w:rsidRPr="002764D6">
        <w:t xml:space="preserve">Den som på avstämningsdagen den </w:t>
      </w:r>
      <w:r w:rsidR="00662603" w:rsidRPr="002764D6">
        <w:t>22</w:t>
      </w:r>
      <w:r w:rsidRPr="002764D6">
        <w:t xml:space="preserve"> </w:t>
      </w:r>
      <w:r w:rsidR="00662603" w:rsidRPr="002764D6">
        <w:t>augusti</w:t>
      </w:r>
      <w:r w:rsidRPr="002764D6">
        <w:t xml:space="preserve"> 202</w:t>
      </w:r>
      <w:r w:rsidR="00662603" w:rsidRPr="002764D6">
        <w:t>3</w:t>
      </w:r>
      <w:r w:rsidRPr="002764D6">
        <w:t xml:space="preserve"> är registrerad som aktieägare i </w:t>
      </w:r>
      <w:r w:rsidR="00662603" w:rsidRPr="002764D6">
        <w:t>Arcede</w:t>
      </w:r>
      <w:r w:rsidRPr="002764D6">
        <w:t xml:space="preserve"> äger företrädesrätt att teckna </w:t>
      </w:r>
      <w:proofErr w:type="spellStart"/>
      <w:r w:rsidR="0071488F" w:rsidRPr="002764D6">
        <w:t>Units</w:t>
      </w:r>
      <w:proofErr w:type="spellEnd"/>
      <w:r w:rsidRPr="002764D6">
        <w:t xml:space="preserve"> i Bolaget i förhållande till befintligt aktieinnehav i Bolaget.</w:t>
      </w:r>
      <w:r w:rsidR="00B53D71" w:rsidRPr="002764D6">
        <w:t xml:space="preserve"> Varje befintlig </w:t>
      </w:r>
      <w:r w:rsidR="00FD021A" w:rsidRPr="002764D6">
        <w:t xml:space="preserve">aktie berättigar till </w:t>
      </w:r>
      <w:r w:rsidR="00775ABA" w:rsidRPr="002764D6">
        <w:t>tjugofem</w:t>
      </w:r>
      <w:r w:rsidRPr="002764D6">
        <w:t xml:space="preserve"> (</w:t>
      </w:r>
      <w:r w:rsidR="00775ABA" w:rsidRPr="002764D6">
        <w:t>25</w:t>
      </w:r>
      <w:r w:rsidRPr="002764D6">
        <w:t>)</w:t>
      </w:r>
      <w:r w:rsidR="007B0887" w:rsidRPr="002764D6">
        <w:t xml:space="preserve"> </w:t>
      </w:r>
      <w:proofErr w:type="spellStart"/>
      <w:r w:rsidR="00FD021A" w:rsidRPr="002764D6">
        <w:t>uniträtter</w:t>
      </w:r>
      <w:proofErr w:type="spellEnd"/>
      <w:r w:rsidR="00FD021A" w:rsidRPr="002764D6">
        <w:t>.</w:t>
      </w:r>
      <w:r w:rsidRPr="002764D6">
        <w:t xml:space="preserve"> </w:t>
      </w:r>
    </w:p>
    <w:p w14:paraId="7C71BFC8" w14:textId="0C56FBE1" w:rsidR="006B1E43" w:rsidRPr="002764D6" w:rsidRDefault="00BD5128" w:rsidP="006B1E43">
      <w:pPr>
        <w:pStyle w:val="Liststycke"/>
        <w:numPr>
          <w:ilvl w:val="0"/>
          <w:numId w:val="1"/>
        </w:numPr>
      </w:pPr>
      <w:r w:rsidRPr="002764D6">
        <w:t>En</w:t>
      </w:r>
      <w:r w:rsidR="006B1E43" w:rsidRPr="002764D6">
        <w:t xml:space="preserve"> (</w:t>
      </w:r>
      <w:r w:rsidRPr="002764D6">
        <w:t>1</w:t>
      </w:r>
      <w:r w:rsidR="006B1E43" w:rsidRPr="002764D6">
        <w:t xml:space="preserve">) </w:t>
      </w:r>
      <w:proofErr w:type="spellStart"/>
      <w:r w:rsidR="00904611" w:rsidRPr="002764D6">
        <w:t>uniträtt</w:t>
      </w:r>
      <w:proofErr w:type="spellEnd"/>
      <w:r w:rsidR="006B1E43" w:rsidRPr="002764D6">
        <w:t xml:space="preserve"> ger rätt att teckna </w:t>
      </w:r>
      <w:r w:rsidR="00DB07F4" w:rsidRPr="002764D6">
        <w:t>en</w:t>
      </w:r>
      <w:r w:rsidR="006B1E43" w:rsidRPr="002764D6">
        <w:t xml:space="preserve"> (</w:t>
      </w:r>
      <w:r w:rsidR="00DB07F4" w:rsidRPr="002764D6">
        <w:t>1</w:t>
      </w:r>
      <w:r w:rsidR="006B1E43" w:rsidRPr="002764D6">
        <w:t xml:space="preserve">) </w:t>
      </w:r>
      <w:proofErr w:type="spellStart"/>
      <w:r w:rsidR="00DB07F4" w:rsidRPr="002764D6">
        <w:t>Unit</w:t>
      </w:r>
      <w:proofErr w:type="spellEnd"/>
      <w:r w:rsidR="006B1E43" w:rsidRPr="002764D6">
        <w:t xml:space="preserve"> i Bolaget.  </w:t>
      </w:r>
    </w:p>
    <w:p w14:paraId="32D76021" w14:textId="374A3423" w:rsidR="006B1E43" w:rsidRPr="002764D6" w:rsidRDefault="006B1E43" w:rsidP="006B1E43">
      <w:pPr>
        <w:pStyle w:val="Liststycke"/>
        <w:numPr>
          <w:ilvl w:val="0"/>
          <w:numId w:val="1"/>
        </w:numPr>
        <w:rPr>
          <w:rFonts w:ascii="Calibri" w:hAnsi="Calibri" w:cs="Calibri"/>
          <w:color w:val="000000"/>
          <w:szCs w:val="22"/>
        </w:rPr>
      </w:pPr>
      <w:r w:rsidRPr="002764D6">
        <w:t xml:space="preserve">Företrädesemissionen består av högst </w:t>
      </w:r>
      <w:r w:rsidR="00085815" w:rsidRPr="002764D6">
        <w:rPr>
          <w:rFonts w:ascii="Calibri" w:hAnsi="Calibri" w:cs="Calibri"/>
          <w:color w:val="000000"/>
          <w:szCs w:val="22"/>
        </w:rPr>
        <w:t>146</w:t>
      </w:r>
      <w:r w:rsidR="006E3897" w:rsidRPr="002764D6">
        <w:rPr>
          <w:rFonts w:ascii="Calibri" w:hAnsi="Calibri" w:cs="Calibri"/>
          <w:color w:val="000000"/>
          <w:szCs w:val="22"/>
        </w:rPr>
        <w:t> </w:t>
      </w:r>
      <w:r w:rsidR="00085815" w:rsidRPr="002764D6">
        <w:rPr>
          <w:rFonts w:ascii="Calibri" w:hAnsi="Calibri" w:cs="Calibri"/>
          <w:color w:val="000000"/>
          <w:szCs w:val="22"/>
        </w:rPr>
        <w:t>158</w:t>
      </w:r>
      <w:r w:rsidR="006E3897" w:rsidRPr="002764D6">
        <w:rPr>
          <w:rFonts w:ascii="Calibri" w:hAnsi="Calibri" w:cs="Calibri"/>
          <w:color w:val="000000"/>
          <w:szCs w:val="22"/>
        </w:rPr>
        <w:t xml:space="preserve"> 050</w:t>
      </w:r>
      <w:r w:rsidRPr="002764D6">
        <w:t xml:space="preserve"> </w:t>
      </w:r>
      <w:proofErr w:type="spellStart"/>
      <w:r w:rsidR="006E3897" w:rsidRPr="002764D6">
        <w:t>Units</w:t>
      </w:r>
      <w:proofErr w:type="spellEnd"/>
      <w:r w:rsidRPr="002764D6">
        <w:t xml:space="preserve">. </w:t>
      </w:r>
      <w:r w:rsidR="006E3897" w:rsidRPr="002764D6">
        <w:t xml:space="preserve">Varje </w:t>
      </w:r>
      <w:proofErr w:type="spellStart"/>
      <w:r w:rsidR="006E3897" w:rsidRPr="002764D6">
        <w:t>Unit</w:t>
      </w:r>
      <w:proofErr w:type="spellEnd"/>
      <w:r w:rsidR="006E3897" w:rsidRPr="002764D6">
        <w:t xml:space="preserve"> består av en (1) aktie och en (1) teckningsoption serie TO 1. </w:t>
      </w:r>
    </w:p>
    <w:p w14:paraId="0B8FB13A" w14:textId="35331CC9" w:rsidR="006B1E43" w:rsidRPr="002764D6" w:rsidRDefault="006B1E43" w:rsidP="006B1E43">
      <w:pPr>
        <w:pStyle w:val="Liststycke"/>
        <w:numPr>
          <w:ilvl w:val="0"/>
          <w:numId w:val="1"/>
        </w:numPr>
      </w:pPr>
      <w:r w:rsidRPr="002764D6">
        <w:t xml:space="preserve">Teckningskursen är </w:t>
      </w:r>
      <w:r w:rsidR="00326AD7" w:rsidRPr="002764D6">
        <w:t>0,09</w:t>
      </w:r>
      <w:r w:rsidR="00623601" w:rsidRPr="002764D6">
        <w:t xml:space="preserve"> </w:t>
      </w:r>
      <w:r w:rsidRPr="002764D6">
        <w:t xml:space="preserve">SEK per </w:t>
      </w:r>
      <w:proofErr w:type="spellStart"/>
      <w:r w:rsidR="00326AD7" w:rsidRPr="002764D6">
        <w:t>Unit</w:t>
      </w:r>
      <w:proofErr w:type="spellEnd"/>
      <w:r w:rsidRPr="002764D6">
        <w:t>. Courtage utgår ej.</w:t>
      </w:r>
    </w:p>
    <w:p w14:paraId="228EAC61" w14:textId="7A7F84E0" w:rsidR="006B1E43" w:rsidRPr="002764D6" w:rsidRDefault="006B1E43" w:rsidP="006B1E43">
      <w:pPr>
        <w:pStyle w:val="Liststycke"/>
        <w:numPr>
          <w:ilvl w:val="0"/>
          <w:numId w:val="1"/>
        </w:numPr>
      </w:pPr>
      <w:r w:rsidRPr="002764D6">
        <w:t xml:space="preserve">Teckningsperioden löper från och med den </w:t>
      </w:r>
      <w:r w:rsidR="00623601" w:rsidRPr="002764D6">
        <w:t>24</w:t>
      </w:r>
      <w:r w:rsidRPr="002764D6">
        <w:t xml:space="preserve"> </w:t>
      </w:r>
      <w:r w:rsidR="00623601" w:rsidRPr="002764D6">
        <w:t>augusti</w:t>
      </w:r>
      <w:r w:rsidRPr="002764D6">
        <w:t xml:space="preserve"> 202</w:t>
      </w:r>
      <w:r w:rsidR="00623601" w:rsidRPr="002764D6">
        <w:t>3</w:t>
      </w:r>
      <w:r w:rsidRPr="002764D6">
        <w:t xml:space="preserve"> till och med den </w:t>
      </w:r>
      <w:r w:rsidR="00BF5685" w:rsidRPr="002764D6">
        <w:t>8</w:t>
      </w:r>
      <w:r w:rsidRPr="002764D6">
        <w:t xml:space="preserve"> </w:t>
      </w:r>
      <w:r w:rsidR="00BF5685" w:rsidRPr="002764D6">
        <w:t>september</w:t>
      </w:r>
      <w:r w:rsidRPr="002764D6">
        <w:t xml:space="preserve"> 202</w:t>
      </w:r>
      <w:r w:rsidR="00BF5685" w:rsidRPr="002764D6">
        <w:t>3</w:t>
      </w:r>
      <w:r w:rsidRPr="002764D6">
        <w:t>.</w:t>
      </w:r>
    </w:p>
    <w:p w14:paraId="5677C274" w14:textId="38150C08" w:rsidR="006B1E43" w:rsidRPr="002764D6" w:rsidRDefault="006B1E43" w:rsidP="006B1E43">
      <w:pPr>
        <w:pStyle w:val="Liststycke"/>
        <w:numPr>
          <w:ilvl w:val="0"/>
          <w:numId w:val="1"/>
        </w:numPr>
      </w:pPr>
      <w:r w:rsidRPr="002764D6">
        <w:t xml:space="preserve">Om inte samtliga </w:t>
      </w:r>
      <w:proofErr w:type="spellStart"/>
      <w:r w:rsidR="00C34A22" w:rsidRPr="002764D6">
        <w:t>Units</w:t>
      </w:r>
      <w:proofErr w:type="spellEnd"/>
      <w:r w:rsidRPr="002764D6">
        <w:t xml:space="preserve"> tecknas med stöd av </w:t>
      </w:r>
      <w:proofErr w:type="spellStart"/>
      <w:r w:rsidR="00C34A22" w:rsidRPr="002764D6">
        <w:t>unit</w:t>
      </w:r>
      <w:r w:rsidRPr="002764D6">
        <w:t>rätter</w:t>
      </w:r>
      <w:proofErr w:type="spellEnd"/>
      <w:r w:rsidRPr="002764D6">
        <w:t xml:space="preserve"> ska tilldelning av resterande </w:t>
      </w:r>
      <w:proofErr w:type="spellStart"/>
      <w:r w:rsidR="004118DD" w:rsidRPr="002764D6">
        <w:t>Units</w:t>
      </w:r>
      <w:proofErr w:type="spellEnd"/>
      <w:r w:rsidRPr="002764D6">
        <w:t xml:space="preserve"> inom ramen för Företrädesemissionens högsta belopp ske: i </w:t>
      </w:r>
      <w:r w:rsidRPr="002764D6">
        <w:rPr>
          <w:i/>
        </w:rPr>
        <w:t>första hand</w:t>
      </w:r>
      <w:r w:rsidRPr="002764D6">
        <w:t xml:space="preserve"> till de som tecknat </w:t>
      </w:r>
      <w:proofErr w:type="spellStart"/>
      <w:r w:rsidR="004118DD" w:rsidRPr="002764D6">
        <w:t>Units</w:t>
      </w:r>
      <w:proofErr w:type="spellEnd"/>
      <w:r w:rsidRPr="002764D6">
        <w:t xml:space="preserve"> med stöd av </w:t>
      </w:r>
      <w:proofErr w:type="spellStart"/>
      <w:r w:rsidR="004118DD" w:rsidRPr="002764D6">
        <w:t>unit</w:t>
      </w:r>
      <w:r w:rsidRPr="002764D6">
        <w:t>rätter</w:t>
      </w:r>
      <w:proofErr w:type="spellEnd"/>
      <w:r w:rsidRPr="002764D6">
        <w:t xml:space="preserve"> (oavsett om de var aktieägare på avstämningsdagen eller inte) och som anmält intresse för teckning av </w:t>
      </w:r>
      <w:proofErr w:type="spellStart"/>
      <w:r w:rsidR="004118DD" w:rsidRPr="002764D6">
        <w:t>Units</w:t>
      </w:r>
      <w:proofErr w:type="spellEnd"/>
      <w:r w:rsidRPr="002764D6">
        <w:t xml:space="preserve"> utan stöd av </w:t>
      </w:r>
      <w:proofErr w:type="spellStart"/>
      <w:r w:rsidR="00BA528A" w:rsidRPr="002764D6">
        <w:t>unit</w:t>
      </w:r>
      <w:r w:rsidRPr="002764D6">
        <w:t>rätter</w:t>
      </w:r>
      <w:proofErr w:type="spellEnd"/>
      <w:r w:rsidRPr="002764D6">
        <w:t xml:space="preserve"> och för det fall tilldelning till dessa inte kan ske fullt ut ska tilldelning ske pro rata i förhållande till det antal </w:t>
      </w:r>
      <w:proofErr w:type="spellStart"/>
      <w:r w:rsidR="00BA528A" w:rsidRPr="002764D6">
        <w:t>unit</w:t>
      </w:r>
      <w:r w:rsidRPr="002764D6">
        <w:t>rätter</w:t>
      </w:r>
      <w:proofErr w:type="spellEnd"/>
      <w:r w:rsidRPr="002764D6">
        <w:t xml:space="preserve"> som var och en av de som anmält intresse att teckna </w:t>
      </w:r>
      <w:proofErr w:type="spellStart"/>
      <w:r w:rsidR="00CA058B" w:rsidRPr="002764D6">
        <w:t>Units</w:t>
      </w:r>
      <w:proofErr w:type="spellEnd"/>
      <w:r w:rsidRPr="002764D6">
        <w:t xml:space="preserve"> utan stöd av </w:t>
      </w:r>
      <w:proofErr w:type="spellStart"/>
      <w:r w:rsidR="00BA528A" w:rsidRPr="002764D6">
        <w:t>unit</w:t>
      </w:r>
      <w:r w:rsidRPr="002764D6">
        <w:t>rätter</w:t>
      </w:r>
      <w:proofErr w:type="spellEnd"/>
      <w:r w:rsidRPr="002764D6">
        <w:t xml:space="preserve"> utnyttjat för teckning av </w:t>
      </w:r>
      <w:proofErr w:type="spellStart"/>
      <w:r w:rsidR="00E85C01" w:rsidRPr="002764D6">
        <w:t>Units</w:t>
      </w:r>
      <w:proofErr w:type="spellEnd"/>
      <w:r w:rsidRPr="002764D6">
        <w:t xml:space="preserve">; i </w:t>
      </w:r>
      <w:r w:rsidRPr="002764D6">
        <w:rPr>
          <w:i/>
        </w:rPr>
        <w:t>andra hand</w:t>
      </w:r>
      <w:r w:rsidRPr="002764D6">
        <w:t xml:space="preserve"> till annan som tecknat </w:t>
      </w:r>
      <w:proofErr w:type="spellStart"/>
      <w:r w:rsidR="00E85C01" w:rsidRPr="002764D6">
        <w:t>Units</w:t>
      </w:r>
      <w:proofErr w:type="spellEnd"/>
      <w:r w:rsidRPr="002764D6">
        <w:t xml:space="preserve"> i Företrädesemissionen utan stöd av </w:t>
      </w:r>
      <w:proofErr w:type="spellStart"/>
      <w:r w:rsidR="00E85C01" w:rsidRPr="002764D6">
        <w:t>unit</w:t>
      </w:r>
      <w:r w:rsidRPr="002764D6">
        <w:t>rätter</w:t>
      </w:r>
      <w:proofErr w:type="spellEnd"/>
      <w:r w:rsidRPr="002764D6">
        <w:t xml:space="preserve"> och för det fall tilldelning till dessa inte kan ske fullt ut ska tilldelning ske pro rata i förhållande till det antal </w:t>
      </w:r>
      <w:proofErr w:type="spellStart"/>
      <w:r w:rsidR="00E85C01" w:rsidRPr="002764D6">
        <w:t>Units</w:t>
      </w:r>
      <w:proofErr w:type="spellEnd"/>
      <w:r w:rsidRPr="002764D6">
        <w:t xml:space="preserve"> som tecknaren totalt anmält sig för teckning av; och i </w:t>
      </w:r>
      <w:r w:rsidRPr="002764D6">
        <w:rPr>
          <w:i/>
        </w:rPr>
        <w:t>tredje hand</w:t>
      </w:r>
      <w:r w:rsidRPr="002764D6">
        <w:t xml:space="preserve"> till de som har lämnat emissionsgarantier </w:t>
      </w:r>
      <w:r w:rsidRPr="002764D6">
        <w:lastRenderedPageBreak/>
        <w:t xml:space="preserve">avseende teckning av </w:t>
      </w:r>
      <w:proofErr w:type="spellStart"/>
      <w:r w:rsidR="0053271E" w:rsidRPr="002764D6">
        <w:t>Units</w:t>
      </w:r>
      <w:proofErr w:type="spellEnd"/>
      <w:r w:rsidRPr="002764D6">
        <w:t>, i proportion till sådana garantiåtaganden. I den mån tilldelning i något led enligt ovan inte kan ske pro rata ska tilldelning ske genom lottning.</w:t>
      </w:r>
    </w:p>
    <w:p w14:paraId="007E7559" w14:textId="32F02BB5" w:rsidR="006B1E43" w:rsidRPr="002764D6" w:rsidRDefault="00865425" w:rsidP="00D27C3C">
      <w:pPr>
        <w:pStyle w:val="Liststycke"/>
        <w:numPr>
          <w:ilvl w:val="0"/>
          <w:numId w:val="1"/>
        </w:numPr>
      </w:pPr>
      <w:r w:rsidRPr="002764D6">
        <w:t>Vid full teckning</w:t>
      </w:r>
      <w:r w:rsidR="00416CCD" w:rsidRPr="002764D6">
        <w:t xml:space="preserve"> i Företrädesemissionen erhåller Bolaget en initial emissionslikvid om cirka 13</w:t>
      </w:r>
      <w:r w:rsidR="003D672B" w:rsidRPr="002764D6">
        <w:t>,2</w:t>
      </w:r>
      <w:r w:rsidR="00416CCD" w:rsidRPr="002764D6">
        <w:t xml:space="preserve"> MSEK</w:t>
      </w:r>
      <w:r w:rsidR="00D27C3C" w:rsidRPr="002764D6">
        <w:t xml:space="preserve"> före emissionskostnader. </w:t>
      </w:r>
    </w:p>
    <w:p w14:paraId="5B711B12" w14:textId="38C3C406" w:rsidR="006B1E43" w:rsidRPr="002764D6" w:rsidRDefault="006B1E43" w:rsidP="006B1E43">
      <w:pPr>
        <w:pStyle w:val="Liststycke"/>
        <w:numPr>
          <w:ilvl w:val="0"/>
          <w:numId w:val="1"/>
        </w:numPr>
      </w:pPr>
      <w:r w:rsidRPr="002764D6">
        <w:t xml:space="preserve">Handel med Betalda Tecknade </w:t>
      </w:r>
      <w:proofErr w:type="spellStart"/>
      <w:r w:rsidR="00207DE0" w:rsidRPr="002764D6">
        <w:t>Units</w:t>
      </w:r>
      <w:proofErr w:type="spellEnd"/>
      <w:r w:rsidRPr="002764D6">
        <w:t xml:space="preserve"> (”BT</w:t>
      </w:r>
      <w:r w:rsidR="00207DE0" w:rsidRPr="002764D6">
        <w:t>U</w:t>
      </w:r>
      <w:r w:rsidRPr="002764D6">
        <w:t xml:space="preserve">”) beräknas att ske på Spotlight från och med den </w:t>
      </w:r>
      <w:r w:rsidR="00610902" w:rsidRPr="002764D6">
        <w:t>24</w:t>
      </w:r>
      <w:r w:rsidRPr="002764D6">
        <w:t xml:space="preserve"> </w:t>
      </w:r>
      <w:r w:rsidR="00610902" w:rsidRPr="002764D6">
        <w:t>augusti</w:t>
      </w:r>
      <w:r w:rsidRPr="002764D6">
        <w:t xml:space="preserve"> 202</w:t>
      </w:r>
      <w:r w:rsidR="00610902" w:rsidRPr="002764D6">
        <w:t>3</w:t>
      </w:r>
      <w:r w:rsidRPr="002764D6">
        <w:t xml:space="preserve"> till dess att omvandling till aktier sker efter att Företrädesemissionen registrerats hos Bolagsverket. Registrering hos Bolagsverket beräknas ske omkring vecka </w:t>
      </w:r>
      <w:r w:rsidR="00C26C23" w:rsidRPr="002764D6">
        <w:t>39</w:t>
      </w:r>
      <w:r w:rsidRPr="002764D6">
        <w:t>, 202</w:t>
      </w:r>
      <w:r w:rsidR="00716E54" w:rsidRPr="002764D6">
        <w:t>3</w:t>
      </w:r>
      <w:r w:rsidRPr="002764D6">
        <w:t>.</w:t>
      </w:r>
    </w:p>
    <w:p w14:paraId="0156E844" w14:textId="77777777" w:rsidR="00EB4C21" w:rsidRPr="002764D6" w:rsidRDefault="00EB4C21" w:rsidP="00EB4C21"/>
    <w:p w14:paraId="50600111" w14:textId="180F20DE" w:rsidR="00EB4C21" w:rsidRPr="002764D6" w:rsidRDefault="00EB4C21" w:rsidP="00EB4C21">
      <w:pPr>
        <w:rPr>
          <w:b/>
          <w:bCs/>
        </w:rPr>
      </w:pPr>
      <w:r w:rsidRPr="002764D6">
        <w:rPr>
          <w:b/>
          <w:bCs/>
        </w:rPr>
        <w:t>Villkor för teckningsoptioner serie TO 1</w:t>
      </w:r>
    </w:p>
    <w:p w14:paraId="76DF6518" w14:textId="34BEE614" w:rsidR="00124671" w:rsidRPr="002764D6" w:rsidRDefault="005B7B9B" w:rsidP="00124671">
      <w:r w:rsidRPr="002764D6">
        <w:t>En</w:t>
      </w:r>
      <w:r w:rsidR="00124671" w:rsidRPr="002764D6">
        <w:t xml:space="preserve"> (</w:t>
      </w:r>
      <w:r w:rsidRPr="002764D6">
        <w:t>1</w:t>
      </w:r>
      <w:r w:rsidR="00124671" w:rsidRPr="002764D6">
        <w:t>) teckningsoption</w:t>
      </w:r>
      <w:r w:rsidRPr="002764D6">
        <w:t xml:space="preserve"> </w:t>
      </w:r>
      <w:r w:rsidR="00124671" w:rsidRPr="002764D6">
        <w:t xml:space="preserve">serie TO </w:t>
      </w:r>
      <w:r w:rsidRPr="002764D6">
        <w:t>1</w:t>
      </w:r>
      <w:r w:rsidR="00124671" w:rsidRPr="002764D6">
        <w:t xml:space="preserve"> ger rätt att teckna </w:t>
      </w:r>
      <w:r w:rsidRPr="002764D6">
        <w:t>en</w:t>
      </w:r>
      <w:r w:rsidR="00124671" w:rsidRPr="002764D6">
        <w:t xml:space="preserve"> (</w:t>
      </w:r>
      <w:r w:rsidRPr="002764D6">
        <w:t>1</w:t>
      </w:r>
      <w:r w:rsidR="00124671" w:rsidRPr="002764D6">
        <w:t xml:space="preserve">) ny aktie i Bolaget, under perioden från och med den </w:t>
      </w:r>
      <w:r w:rsidR="0039659A" w:rsidRPr="002764D6">
        <w:t>8</w:t>
      </w:r>
      <w:r w:rsidR="00124671" w:rsidRPr="002764D6">
        <w:t xml:space="preserve"> </w:t>
      </w:r>
      <w:r w:rsidR="0039659A" w:rsidRPr="002764D6">
        <w:t>januari</w:t>
      </w:r>
      <w:r w:rsidR="00124671" w:rsidRPr="002764D6">
        <w:t xml:space="preserve"> 202</w:t>
      </w:r>
      <w:r w:rsidR="0039659A" w:rsidRPr="002764D6">
        <w:t>4</w:t>
      </w:r>
      <w:r w:rsidR="00124671" w:rsidRPr="002764D6">
        <w:t xml:space="preserve"> till och med den </w:t>
      </w:r>
      <w:r w:rsidR="0039659A" w:rsidRPr="002764D6">
        <w:t>19</w:t>
      </w:r>
      <w:r w:rsidR="00124671" w:rsidRPr="002764D6">
        <w:t xml:space="preserve"> </w:t>
      </w:r>
      <w:r w:rsidR="0039659A" w:rsidRPr="002764D6">
        <w:t>januari</w:t>
      </w:r>
      <w:r w:rsidR="00124671" w:rsidRPr="002764D6">
        <w:t xml:space="preserve"> 202</w:t>
      </w:r>
      <w:r w:rsidR="0039659A" w:rsidRPr="002764D6">
        <w:t>4</w:t>
      </w:r>
      <w:r w:rsidR="00124671" w:rsidRPr="002764D6">
        <w:t xml:space="preserve">. Teckningskursen vid teckning av aktier med stöd av teckningsoptionerna serie TO </w:t>
      </w:r>
      <w:r w:rsidR="00B820D2" w:rsidRPr="002764D6">
        <w:t>1</w:t>
      </w:r>
      <w:r w:rsidR="00124671" w:rsidRPr="002764D6">
        <w:t xml:space="preserve"> uppgår till </w:t>
      </w:r>
      <w:r w:rsidR="00B820D2" w:rsidRPr="002764D6">
        <w:t>0,09 SEK</w:t>
      </w:r>
      <w:r w:rsidR="00124671" w:rsidRPr="002764D6">
        <w:t xml:space="preserve"> per aktie.</w:t>
      </w:r>
    </w:p>
    <w:p w14:paraId="3CE3CBFC" w14:textId="2803CB8D" w:rsidR="00EB4C21" w:rsidRPr="002764D6" w:rsidRDefault="00124671" w:rsidP="00297D28">
      <w:r w:rsidRPr="002764D6">
        <w:t>Teckningsoptionerna avses att tas upp till handel på Spotlight efter slutlig registrering av Företrädesemissionen hos Bolagsverket.</w:t>
      </w:r>
    </w:p>
    <w:p w14:paraId="37964A3D" w14:textId="6BBAB208" w:rsidR="002D2C31" w:rsidRPr="002764D6" w:rsidRDefault="002D2C31" w:rsidP="00297D28">
      <w:pPr>
        <w:rPr>
          <w:b/>
          <w:bCs/>
        </w:rPr>
      </w:pPr>
      <w:r w:rsidRPr="002764D6">
        <w:rPr>
          <w:b/>
          <w:bCs/>
        </w:rPr>
        <w:t>Förändring av antal aktier och aktiekapital samt utspädning</w:t>
      </w:r>
    </w:p>
    <w:p w14:paraId="5A0484AC" w14:textId="2C31D1DE" w:rsidR="00865425" w:rsidRPr="002764D6" w:rsidRDefault="00865425" w:rsidP="00865425">
      <w:r w:rsidRPr="002764D6">
        <w:t xml:space="preserve">Genom Företrädesemissionen kommer antalet aktier i </w:t>
      </w:r>
      <w:r w:rsidR="009F3432" w:rsidRPr="002764D6">
        <w:t>Arcede</w:t>
      </w:r>
      <w:r w:rsidRPr="002764D6">
        <w:t xml:space="preserve"> att öka med högst </w:t>
      </w:r>
      <w:r w:rsidR="00A42F34" w:rsidRPr="002764D6">
        <w:t>146 158 050</w:t>
      </w:r>
      <w:r w:rsidRPr="002764D6">
        <w:t xml:space="preserve"> aktier, från </w:t>
      </w:r>
      <w:r w:rsidR="00A42F34" w:rsidRPr="002764D6">
        <w:t xml:space="preserve">5 846 322 </w:t>
      </w:r>
      <w:r w:rsidRPr="002764D6">
        <w:t xml:space="preserve">aktier till </w:t>
      </w:r>
      <w:r w:rsidR="006D3ED6" w:rsidRPr="002764D6">
        <w:t>152 004 372</w:t>
      </w:r>
      <w:r w:rsidRPr="002764D6">
        <w:t xml:space="preserve"> aktier, och aktiekapitalet kommer att öka med högst </w:t>
      </w:r>
      <w:r w:rsidR="006E372B" w:rsidRPr="002764D6">
        <w:t>12</w:t>
      </w:r>
      <w:r w:rsidR="0012274C" w:rsidRPr="002764D6">
        <w:t> </w:t>
      </w:r>
      <w:r w:rsidR="006E372B" w:rsidRPr="002764D6">
        <w:t>500</w:t>
      </w:r>
      <w:r w:rsidR="00921C91" w:rsidRPr="002764D6">
        <w:t> 004,2762</w:t>
      </w:r>
      <w:r w:rsidR="001653FC" w:rsidRPr="002764D6">
        <w:t>00</w:t>
      </w:r>
      <w:r w:rsidRPr="002764D6">
        <w:t xml:space="preserve"> SEK, från </w:t>
      </w:r>
      <w:r w:rsidR="00D8266D" w:rsidRPr="002764D6">
        <w:t xml:space="preserve">500 000,171048 </w:t>
      </w:r>
      <w:r w:rsidRPr="002764D6">
        <w:t xml:space="preserve">SEK till </w:t>
      </w:r>
      <w:r w:rsidR="00D8266D" w:rsidRPr="002764D6">
        <w:t>13 000</w:t>
      </w:r>
      <w:r w:rsidR="00921C91" w:rsidRPr="002764D6">
        <w:t> 004,447248</w:t>
      </w:r>
      <w:r w:rsidRPr="002764D6">
        <w:t xml:space="preserve"> SEK. För befintliga aktieägare som inte deltar i Företrädesemissionen innebär detta, vid full teckning, en utspädningseffekt om cirka </w:t>
      </w:r>
      <w:r w:rsidR="004B56EB" w:rsidRPr="002764D6">
        <w:t>96,</w:t>
      </w:r>
      <w:r w:rsidR="004866D6" w:rsidRPr="002764D6">
        <w:t>2</w:t>
      </w:r>
      <w:r w:rsidRPr="002764D6">
        <w:t xml:space="preserve"> procent av röster och kapital i Bolaget.</w:t>
      </w:r>
    </w:p>
    <w:p w14:paraId="4421890A" w14:textId="38F2F7CB" w:rsidR="002D2C31" w:rsidRPr="002764D6" w:rsidRDefault="00865425" w:rsidP="00865425">
      <w:r w:rsidRPr="002764D6">
        <w:t xml:space="preserve">Om samtliga teckningsoptioner serie TO </w:t>
      </w:r>
      <w:r w:rsidR="00172655" w:rsidRPr="002764D6">
        <w:t>1</w:t>
      </w:r>
      <w:r w:rsidRPr="002764D6">
        <w:t xml:space="preserve"> utnyttjas fullt ut för teckning av nya aktier i Bolaget kommer antalet aktier att öka med ytterligare </w:t>
      </w:r>
      <w:r w:rsidR="00CD296B" w:rsidRPr="002764D6">
        <w:t>146 158 050</w:t>
      </w:r>
      <w:r w:rsidRPr="002764D6">
        <w:t xml:space="preserve"> till totalt </w:t>
      </w:r>
      <w:r w:rsidR="00013EF4" w:rsidRPr="002764D6">
        <w:t>298 162 422</w:t>
      </w:r>
      <w:r w:rsidRPr="002764D6">
        <w:t xml:space="preserve"> aktier och aktiekapitalet kommer att öka med ytterligare </w:t>
      </w:r>
      <w:r w:rsidR="00921C91" w:rsidRPr="002764D6">
        <w:t>12 500 004,2762</w:t>
      </w:r>
      <w:r w:rsidR="001653FC" w:rsidRPr="002764D6">
        <w:t>00</w:t>
      </w:r>
      <w:r w:rsidR="00921C91" w:rsidRPr="002764D6">
        <w:t xml:space="preserve"> </w:t>
      </w:r>
      <w:r w:rsidRPr="002764D6">
        <w:t xml:space="preserve">SEK till </w:t>
      </w:r>
      <w:r w:rsidR="005371C1" w:rsidRPr="002764D6">
        <w:t>25 500</w:t>
      </w:r>
      <w:r w:rsidR="00921C91" w:rsidRPr="002764D6">
        <w:t> </w:t>
      </w:r>
      <w:r w:rsidR="005371C1" w:rsidRPr="002764D6">
        <w:t>0</w:t>
      </w:r>
      <w:r w:rsidR="00921C91" w:rsidRPr="002764D6">
        <w:t>09,734480</w:t>
      </w:r>
      <w:r w:rsidRPr="002764D6">
        <w:t xml:space="preserve"> SEK. Detta motsvarar en utspädningseffekt från teckningsoptionerna om ytterligare högst cirka </w:t>
      </w:r>
      <w:r w:rsidR="002E035C" w:rsidRPr="002764D6">
        <w:t>49</w:t>
      </w:r>
      <w:r w:rsidRPr="002764D6">
        <w:t xml:space="preserve"> procent. Den totala utspädningseffekten i det fall både Företrädesemissionen och teckningsoptionerna tecknas, respektive utnyttjas, fullt ut, uppgår till cirka </w:t>
      </w:r>
      <w:r w:rsidR="002E035C" w:rsidRPr="002764D6">
        <w:t>98</w:t>
      </w:r>
      <w:r w:rsidRPr="002764D6">
        <w:t xml:space="preserve"> procent.</w:t>
      </w:r>
    </w:p>
    <w:p w14:paraId="1D285FC4" w14:textId="77777777" w:rsidR="006B1E43" w:rsidRPr="002764D6" w:rsidRDefault="006B1E43" w:rsidP="006B1E43">
      <w:pPr>
        <w:rPr>
          <w:b/>
          <w:bCs/>
          <w:i/>
          <w:iCs/>
        </w:rPr>
      </w:pPr>
      <w:r w:rsidRPr="002764D6">
        <w:rPr>
          <w:rFonts w:cstheme="minorHAnsi"/>
          <w:b/>
          <w:bCs/>
        </w:rPr>
        <w:t>Teckningsåtaganden, avsiktsförklaringar och garantiåtaganden</w:t>
      </w:r>
    </w:p>
    <w:p w14:paraId="4740932C" w14:textId="5BD5C41F" w:rsidR="00D50013" w:rsidRPr="002764D6" w:rsidRDefault="001D09D5" w:rsidP="006B1E43">
      <w:pPr>
        <w:autoSpaceDE w:val="0"/>
        <w:autoSpaceDN w:val="0"/>
        <w:adjustRightInd w:val="0"/>
        <w:spacing w:line="252" w:lineRule="auto"/>
      </w:pPr>
      <w:r w:rsidRPr="002764D6">
        <w:t>Arcede</w:t>
      </w:r>
      <w:r w:rsidR="006B1E43" w:rsidRPr="002764D6">
        <w:t xml:space="preserve"> har erhållit teckningsåtagande från Fårö Capital AB avseende sin pro-rata andel av Företrädesemissionen,</w:t>
      </w:r>
      <w:r w:rsidR="003442E9" w:rsidRPr="002764D6">
        <w:t xml:space="preserve"> </w:t>
      </w:r>
      <w:r w:rsidR="006B1E43" w:rsidRPr="002764D6">
        <w:t xml:space="preserve">cirka </w:t>
      </w:r>
      <w:r w:rsidR="003770E1" w:rsidRPr="002764D6">
        <w:t>1,</w:t>
      </w:r>
      <w:r w:rsidR="00E37DAE" w:rsidRPr="002764D6">
        <w:t>5</w:t>
      </w:r>
      <w:r w:rsidR="006B1E43" w:rsidRPr="002764D6">
        <w:t xml:space="preserve"> MSEK, motsvarande cirka 1</w:t>
      </w:r>
      <w:r w:rsidR="00F5514D" w:rsidRPr="002764D6">
        <w:t>1</w:t>
      </w:r>
      <w:r w:rsidR="006B1E43" w:rsidRPr="002764D6">
        <w:t>,</w:t>
      </w:r>
      <w:r w:rsidR="00F5514D" w:rsidRPr="002764D6">
        <w:t>2</w:t>
      </w:r>
      <w:r w:rsidR="006B1E43" w:rsidRPr="002764D6">
        <w:t xml:space="preserve"> procent av Företrädesemissionen. </w:t>
      </w:r>
      <w:r w:rsidR="00F418D1" w:rsidRPr="002764D6">
        <w:t>Vidare</w:t>
      </w:r>
      <w:r w:rsidR="00D50013" w:rsidRPr="002764D6">
        <w:t xml:space="preserve"> har</w:t>
      </w:r>
      <w:r w:rsidR="00557EC8" w:rsidRPr="002764D6">
        <w:t xml:space="preserve"> Bolaget erhållit teckningsåtagande</w:t>
      </w:r>
      <w:r w:rsidR="00BE3CB9" w:rsidRPr="002764D6">
        <w:t>n</w:t>
      </w:r>
      <w:r w:rsidR="00557EC8" w:rsidRPr="002764D6">
        <w:t xml:space="preserve"> </w:t>
      </w:r>
      <w:r w:rsidR="00C17394" w:rsidRPr="002764D6">
        <w:t>samt</w:t>
      </w:r>
      <w:r w:rsidR="00557EC8" w:rsidRPr="002764D6">
        <w:t xml:space="preserve"> </w:t>
      </w:r>
      <w:r w:rsidR="00C364CC" w:rsidRPr="002764D6">
        <w:t>avsiktsförklaring</w:t>
      </w:r>
      <w:r w:rsidR="00C17394" w:rsidRPr="002764D6">
        <w:t xml:space="preserve">ar </w:t>
      </w:r>
      <w:r w:rsidR="003442E9" w:rsidRPr="002764D6">
        <w:t>från</w:t>
      </w:r>
      <w:r w:rsidR="00C17394" w:rsidRPr="002764D6">
        <w:t xml:space="preserve"> befintliga aktieägare, inklusive personer i Bolagets styrelse och ledning, </w:t>
      </w:r>
      <w:r w:rsidR="00BE3CB9" w:rsidRPr="002764D6">
        <w:t>om cirka</w:t>
      </w:r>
      <w:r w:rsidR="00732934" w:rsidRPr="002764D6">
        <w:t xml:space="preserve"> 0,</w:t>
      </w:r>
      <w:r w:rsidR="00496829">
        <w:t>2</w:t>
      </w:r>
      <w:r w:rsidR="00732934" w:rsidRPr="002764D6">
        <w:t xml:space="preserve"> MSEK</w:t>
      </w:r>
      <w:r w:rsidR="005E3920" w:rsidRPr="002764D6">
        <w:t>, motsvarande</w:t>
      </w:r>
      <w:r w:rsidR="00753F5B" w:rsidRPr="002764D6">
        <w:t xml:space="preserve"> </w:t>
      </w:r>
      <w:r w:rsidR="00D16662" w:rsidRPr="002764D6">
        <w:t>cirka</w:t>
      </w:r>
      <w:r w:rsidR="00753F5B" w:rsidRPr="002764D6">
        <w:t xml:space="preserve"> </w:t>
      </w:r>
      <w:r w:rsidR="004E467F">
        <w:t>1,2</w:t>
      </w:r>
      <w:r w:rsidR="00753F5B" w:rsidRPr="002764D6">
        <w:t xml:space="preserve"> procent</w:t>
      </w:r>
      <w:r w:rsidR="007E6DA2" w:rsidRPr="002764D6">
        <w:t xml:space="preserve"> av Företrädesemissionen. </w:t>
      </w:r>
    </w:p>
    <w:p w14:paraId="3EDD3030" w14:textId="26697BEF" w:rsidR="00921C91" w:rsidRPr="002764D6" w:rsidRDefault="00B93FCE" w:rsidP="006B1E43">
      <w:pPr>
        <w:autoSpaceDE w:val="0"/>
        <w:autoSpaceDN w:val="0"/>
        <w:adjustRightInd w:val="0"/>
        <w:spacing w:line="252" w:lineRule="auto"/>
      </w:pPr>
      <w:r w:rsidRPr="002764D6">
        <w:t xml:space="preserve">Bolaget har </w:t>
      </w:r>
      <w:r w:rsidR="00707963" w:rsidRPr="002764D6">
        <w:t xml:space="preserve">därutöver </w:t>
      </w:r>
      <w:r w:rsidRPr="002764D6">
        <w:t xml:space="preserve">ingått avtal med ett antal externa investerare om emissionsgarantier uppgående till cirka </w:t>
      </w:r>
      <w:r w:rsidR="00C10FF8">
        <w:t>3,3</w:t>
      </w:r>
      <w:r w:rsidRPr="002764D6">
        <w:t xml:space="preserve"> MSEK, motsvarande cirka </w:t>
      </w:r>
      <w:r w:rsidR="00C27965">
        <w:t>25,1</w:t>
      </w:r>
      <w:r w:rsidRPr="002764D6">
        <w:t xml:space="preserve"> procent av Företrädesemissionen. Sammantaget omfattas Företrädesemissionen därmed av tecknings</w:t>
      </w:r>
      <w:r w:rsidR="00D16662" w:rsidRPr="002764D6">
        <w:t>åtaganden, avsiktsförklaringar</w:t>
      </w:r>
      <w:r w:rsidRPr="002764D6">
        <w:t xml:space="preserve"> och garantiåtaganden uppgående till cirka </w:t>
      </w:r>
      <w:r w:rsidR="0025451B">
        <w:t>4,9</w:t>
      </w:r>
      <w:r w:rsidRPr="002764D6">
        <w:t xml:space="preserve"> MSEK, motsvarande cirka </w:t>
      </w:r>
      <w:r w:rsidR="0025451B">
        <w:t>37,5</w:t>
      </w:r>
      <w:r w:rsidRPr="002764D6">
        <w:t xml:space="preserve"> procent av Företrädesemissionen.</w:t>
      </w:r>
      <w:r w:rsidR="004D504B" w:rsidRPr="002764D6">
        <w:t xml:space="preserve"> </w:t>
      </w:r>
      <w:r w:rsidR="00921C91" w:rsidRPr="002764D6">
        <w:t xml:space="preserve">Kontant provision utgår enligt garantiavtalen om 15 procent på garanterat belopp alternativt 20 procent av det garanterade beloppet i form av nyemitterade </w:t>
      </w:r>
      <w:proofErr w:type="spellStart"/>
      <w:r w:rsidR="00921C91" w:rsidRPr="002764D6">
        <w:t>Units</w:t>
      </w:r>
      <w:proofErr w:type="spellEnd"/>
      <w:r w:rsidR="00921C91" w:rsidRPr="002764D6">
        <w:t xml:space="preserve"> i Bolaget, med samma villkor som </w:t>
      </w:r>
      <w:proofErr w:type="spellStart"/>
      <w:r w:rsidR="00921C91" w:rsidRPr="002764D6">
        <w:t>Units</w:t>
      </w:r>
      <w:proofErr w:type="spellEnd"/>
      <w:r w:rsidR="00921C91" w:rsidRPr="002764D6">
        <w:t xml:space="preserve"> i Företrädesemissionen. Ingen ersättning utgår för lämnande teckningsförbindelser.</w:t>
      </w:r>
    </w:p>
    <w:p w14:paraId="5DEC7F9C" w14:textId="343BC339" w:rsidR="00E90311" w:rsidRPr="002764D6" w:rsidRDefault="004D504B" w:rsidP="006B1E43">
      <w:pPr>
        <w:autoSpaceDE w:val="0"/>
        <w:autoSpaceDN w:val="0"/>
        <w:adjustRightInd w:val="0"/>
        <w:spacing w:line="252" w:lineRule="auto"/>
        <w:rPr>
          <w:rFonts w:cstheme="minorHAnsi"/>
        </w:rPr>
      </w:pPr>
      <w:r w:rsidRPr="002764D6">
        <w:rPr>
          <w:rFonts w:cstheme="minorHAnsi"/>
        </w:rPr>
        <w:t>Teckningsåtaganden, avsiktsförklaringar och garantiåtaganden har inte säkerställts via förhandstransaktion, bankgaranti eller liknande.</w:t>
      </w:r>
    </w:p>
    <w:p w14:paraId="73BD3480" w14:textId="331DAD6B" w:rsidR="00921C91" w:rsidRPr="002764D6" w:rsidRDefault="00921C91" w:rsidP="006B1E43">
      <w:pPr>
        <w:autoSpaceDE w:val="0"/>
        <w:autoSpaceDN w:val="0"/>
        <w:adjustRightInd w:val="0"/>
        <w:spacing w:line="252" w:lineRule="auto"/>
      </w:pPr>
      <w:r w:rsidRPr="002764D6">
        <w:lastRenderedPageBreak/>
        <w:t xml:space="preserve">I syfte att möjliggöra emission av </w:t>
      </w:r>
      <w:proofErr w:type="spellStart"/>
      <w:r w:rsidRPr="002764D6">
        <w:t>Units</w:t>
      </w:r>
      <w:proofErr w:type="spellEnd"/>
      <w:r w:rsidRPr="002764D6">
        <w:t xml:space="preserve"> som garantiersättning till de emissionsgaranter som väljer att erhålla garantiersättning i form av nyemitterade </w:t>
      </w:r>
      <w:proofErr w:type="spellStart"/>
      <w:r w:rsidRPr="002764D6">
        <w:t>Units</w:t>
      </w:r>
      <w:proofErr w:type="spellEnd"/>
      <w:r w:rsidRPr="002764D6">
        <w:t xml:space="preserve"> har styrelsen föreslagit att den extra bolagsstämman den </w:t>
      </w:r>
      <w:r w:rsidR="00B27F8F">
        <w:t>17</w:t>
      </w:r>
      <w:r w:rsidRPr="002764D6">
        <w:t xml:space="preserve"> augusti 2023, som bland annat föreslås besluta om godkännande av Företrädesemissionen och ändring av bolagsordningen, även beslutar om bemyndigande för styrelsen att besluta om emission av sådana </w:t>
      </w:r>
      <w:proofErr w:type="spellStart"/>
      <w:r w:rsidRPr="002764D6">
        <w:t>Units</w:t>
      </w:r>
      <w:proofErr w:type="spellEnd"/>
      <w:r w:rsidRPr="002764D6">
        <w:t xml:space="preserve"> till emissionsgaranter.</w:t>
      </w:r>
    </w:p>
    <w:p w14:paraId="43CFA826" w14:textId="77777777" w:rsidR="006B1E43" w:rsidRPr="002764D6" w:rsidRDefault="006B1E43" w:rsidP="006B1E43">
      <w:pPr>
        <w:pStyle w:val="Rubrik3"/>
        <w:rPr>
          <w:rFonts w:asciiTheme="minorHAnsi" w:hAnsiTheme="minorHAnsi" w:cstheme="minorHAnsi"/>
          <w:sz w:val="22"/>
          <w:szCs w:val="22"/>
        </w:rPr>
      </w:pPr>
      <w:r w:rsidRPr="002764D6">
        <w:rPr>
          <w:rFonts w:asciiTheme="minorHAnsi" w:hAnsiTheme="minorHAnsi" w:cstheme="minorHAnsi"/>
          <w:sz w:val="22"/>
          <w:szCs w:val="22"/>
        </w:rPr>
        <w:t>Preliminär tidplan för Företrädesemissionen</w:t>
      </w:r>
    </w:p>
    <w:p w14:paraId="10728C4E" w14:textId="592629EB" w:rsidR="006B1E43" w:rsidRPr="002764D6" w:rsidRDefault="00B27F8F" w:rsidP="006B1E43">
      <w:pPr>
        <w:tabs>
          <w:tab w:val="left" w:pos="2977"/>
        </w:tabs>
        <w:autoSpaceDE w:val="0"/>
        <w:autoSpaceDN w:val="0"/>
        <w:adjustRightInd w:val="0"/>
        <w:spacing w:line="252" w:lineRule="auto"/>
        <w:rPr>
          <w:rFonts w:cstheme="minorHAnsi"/>
        </w:rPr>
      </w:pPr>
      <w:r>
        <w:rPr>
          <w:rFonts w:cstheme="minorHAnsi"/>
        </w:rPr>
        <w:t>17</w:t>
      </w:r>
      <w:r w:rsidR="006B1E43" w:rsidRPr="002764D6">
        <w:rPr>
          <w:rFonts w:cstheme="minorHAnsi"/>
        </w:rPr>
        <w:t xml:space="preserve"> </w:t>
      </w:r>
      <w:r w:rsidR="00AA1695" w:rsidRPr="002764D6">
        <w:rPr>
          <w:rFonts w:cstheme="minorHAnsi"/>
        </w:rPr>
        <w:t>augusti</w:t>
      </w:r>
      <w:r w:rsidR="006B1E43" w:rsidRPr="002764D6">
        <w:rPr>
          <w:rFonts w:cstheme="minorHAnsi"/>
        </w:rPr>
        <w:t xml:space="preserve"> 202</w:t>
      </w:r>
      <w:r w:rsidR="00AA1695" w:rsidRPr="002764D6">
        <w:rPr>
          <w:rFonts w:cstheme="minorHAnsi"/>
        </w:rPr>
        <w:t>3</w:t>
      </w:r>
      <w:r w:rsidR="006B1E43" w:rsidRPr="002764D6">
        <w:rPr>
          <w:rFonts w:cstheme="minorHAnsi"/>
        </w:rPr>
        <w:tab/>
        <w:t>Extra bolagstämma</w:t>
      </w:r>
      <w:r w:rsidR="00DF2FDE" w:rsidRPr="002764D6">
        <w:rPr>
          <w:rFonts w:cstheme="minorHAnsi"/>
        </w:rPr>
        <w:t>.</w:t>
      </w:r>
    </w:p>
    <w:p w14:paraId="157D3F4A" w14:textId="04D3447E" w:rsidR="006B1E43" w:rsidRPr="002764D6" w:rsidRDefault="0004678D" w:rsidP="006B1E43">
      <w:pPr>
        <w:tabs>
          <w:tab w:val="left" w:pos="2977"/>
        </w:tabs>
        <w:autoSpaceDE w:val="0"/>
        <w:autoSpaceDN w:val="0"/>
        <w:adjustRightInd w:val="0"/>
        <w:spacing w:line="252" w:lineRule="auto"/>
        <w:ind w:left="2976" w:hanging="2976"/>
        <w:rPr>
          <w:rFonts w:cstheme="minorHAnsi"/>
        </w:rPr>
      </w:pPr>
      <w:r w:rsidRPr="002764D6">
        <w:rPr>
          <w:rFonts w:cstheme="minorHAnsi"/>
        </w:rPr>
        <w:t>18</w:t>
      </w:r>
      <w:r w:rsidR="006B1E43" w:rsidRPr="002764D6">
        <w:rPr>
          <w:rFonts w:cstheme="minorHAnsi"/>
        </w:rPr>
        <w:t xml:space="preserve"> </w:t>
      </w:r>
      <w:r w:rsidR="002D512E" w:rsidRPr="002764D6">
        <w:rPr>
          <w:rFonts w:cstheme="minorHAnsi"/>
        </w:rPr>
        <w:t>augusti</w:t>
      </w:r>
      <w:r w:rsidR="006B1E43" w:rsidRPr="002764D6">
        <w:rPr>
          <w:rFonts w:cstheme="minorHAnsi"/>
        </w:rPr>
        <w:t xml:space="preserve"> 202</w:t>
      </w:r>
      <w:r w:rsidR="002D512E" w:rsidRPr="002764D6">
        <w:rPr>
          <w:rFonts w:cstheme="minorHAnsi"/>
        </w:rPr>
        <w:t>3</w:t>
      </w:r>
      <w:r w:rsidR="006B1E43" w:rsidRPr="002764D6">
        <w:rPr>
          <w:rFonts w:cstheme="minorHAnsi"/>
        </w:rPr>
        <w:tab/>
      </w:r>
      <w:r w:rsidR="006B1E43" w:rsidRPr="002764D6">
        <w:rPr>
          <w:rFonts w:cstheme="minorHAnsi"/>
        </w:rPr>
        <w:tab/>
        <w:t>Sista handelsdag i aktien med rätt att delta i Företrädesemissionen</w:t>
      </w:r>
      <w:r w:rsidR="00DF2FDE" w:rsidRPr="002764D6">
        <w:rPr>
          <w:rFonts w:cstheme="minorHAnsi"/>
        </w:rPr>
        <w:t>.</w:t>
      </w:r>
    </w:p>
    <w:p w14:paraId="00F1C125" w14:textId="37F73D43" w:rsidR="006B1E43" w:rsidRPr="002764D6" w:rsidRDefault="002D512E" w:rsidP="006B1E43">
      <w:pPr>
        <w:tabs>
          <w:tab w:val="left" w:pos="2977"/>
        </w:tabs>
        <w:autoSpaceDE w:val="0"/>
        <w:autoSpaceDN w:val="0"/>
        <w:adjustRightInd w:val="0"/>
        <w:spacing w:line="252" w:lineRule="auto"/>
        <w:ind w:left="2976" w:right="-142" w:hanging="2976"/>
        <w:rPr>
          <w:rFonts w:cstheme="minorHAnsi"/>
        </w:rPr>
      </w:pPr>
      <w:r w:rsidRPr="002764D6">
        <w:rPr>
          <w:rFonts w:cstheme="minorHAnsi"/>
        </w:rPr>
        <w:t>21</w:t>
      </w:r>
      <w:r w:rsidR="006B1E43" w:rsidRPr="002764D6">
        <w:rPr>
          <w:rFonts w:cstheme="minorHAnsi"/>
        </w:rPr>
        <w:t xml:space="preserve"> </w:t>
      </w:r>
      <w:r w:rsidRPr="002764D6">
        <w:rPr>
          <w:rFonts w:cstheme="minorHAnsi"/>
        </w:rPr>
        <w:t>augusti</w:t>
      </w:r>
      <w:r w:rsidR="006B1E43" w:rsidRPr="002764D6">
        <w:rPr>
          <w:rFonts w:cstheme="minorHAnsi"/>
        </w:rPr>
        <w:t xml:space="preserve"> 202</w:t>
      </w:r>
      <w:r w:rsidRPr="002764D6">
        <w:rPr>
          <w:rFonts w:cstheme="minorHAnsi"/>
        </w:rPr>
        <w:t>3</w:t>
      </w:r>
      <w:r w:rsidR="006B1E43" w:rsidRPr="002764D6">
        <w:rPr>
          <w:rFonts w:cstheme="minorHAnsi"/>
        </w:rPr>
        <w:tab/>
        <w:t>Första handelsdag i aktien utan rätt att delta i Företrädesemissionen</w:t>
      </w:r>
      <w:r w:rsidR="00DF2FDE" w:rsidRPr="002764D6">
        <w:rPr>
          <w:rFonts w:cstheme="minorHAnsi"/>
        </w:rPr>
        <w:t>.</w:t>
      </w:r>
    </w:p>
    <w:p w14:paraId="558B51F3" w14:textId="22F6029E" w:rsidR="006B1E43" w:rsidRPr="002764D6" w:rsidRDefault="006F61B6" w:rsidP="006B1E43">
      <w:pPr>
        <w:tabs>
          <w:tab w:val="left" w:pos="2977"/>
        </w:tabs>
        <w:autoSpaceDE w:val="0"/>
        <w:autoSpaceDN w:val="0"/>
        <w:adjustRightInd w:val="0"/>
        <w:spacing w:line="252" w:lineRule="auto"/>
        <w:rPr>
          <w:rFonts w:cstheme="minorHAnsi"/>
        </w:rPr>
      </w:pPr>
      <w:r w:rsidRPr="002764D6">
        <w:rPr>
          <w:rFonts w:cstheme="minorHAnsi"/>
        </w:rPr>
        <w:t>2</w:t>
      </w:r>
      <w:r w:rsidR="007866BE" w:rsidRPr="002764D6">
        <w:rPr>
          <w:rFonts w:cstheme="minorHAnsi"/>
        </w:rPr>
        <w:t>1</w:t>
      </w:r>
      <w:r w:rsidR="006B1E43" w:rsidRPr="002764D6">
        <w:rPr>
          <w:rFonts w:cstheme="minorHAnsi"/>
        </w:rPr>
        <w:t xml:space="preserve"> </w:t>
      </w:r>
      <w:r w:rsidR="007866BE" w:rsidRPr="002764D6">
        <w:rPr>
          <w:rFonts w:cstheme="minorHAnsi"/>
        </w:rPr>
        <w:t>augusti</w:t>
      </w:r>
      <w:r w:rsidR="006B1E43" w:rsidRPr="002764D6">
        <w:rPr>
          <w:rFonts w:cstheme="minorHAnsi"/>
        </w:rPr>
        <w:t xml:space="preserve"> 202</w:t>
      </w:r>
      <w:r w:rsidR="007866BE" w:rsidRPr="002764D6">
        <w:rPr>
          <w:rFonts w:cstheme="minorHAnsi"/>
        </w:rPr>
        <w:t>3</w:t>
      </w:r>
      <w:r w:rsidR="006B1E43" w:rsidRPr="002764D6">
        <w:rPr>
          <w:rFonts w:cstheme="minorHAnsi"/>
        </w:rPr>
        <w:tab/>
        <w:t xml:space="preserve">Beräknat datum för offentliggörande av </w:t>
      </w:r>
      <w:r w:rsidR="007866BE" w:rsidRPr="002764D6">
        <w:rPr>
          <w:rFonts w:cstheme="minorHAnsi"/>
        </w:rPr>
        <w:t>memorandum</w:t>
      </w:r>
      <w:r w:rsidR="00DF2FDE" w:rsidRPr="002764D6">
        <w:rPr>
          <w:rFonts w:cstheme="minorHAnsi"/>
        </w:rPr>
        <w:t>.</w:t>
      </w:r>
    </w:p>
    <w:p w14:paraId="5CD3C93E" w14:textId="52CF219E" w:rsidR="006B1E43" w:rsidRPr="002764D6" w:rsidRDefault="007866BE" w:rsidP="006B1E43">
      <w:pPr>
        <w:tabs>
          <w:tab w:val="left" w:pos="2977"/>
        </w:tabs>
        <w:autoSpaceDE w:val="0"/>
        <w:autoSpaceDN w:val="0"/>
        <w:adjustRightInd w:val="0"/>
        <w:spacing w:line="252" w:lineRule="auto"/>
        <w:rPr>
          <w:rFonts w:cstheme="minorHAnsi"/>
        </w:rPr>
      </w:pPr>
      <w:r w:rsidRPr="002764D6">
        <w:rPr>
          <w:rFonts w:cstheme="minorHAnsi"/>
        </w:rPr>
        <w:t>22</w:t>
      </w:r>
      <w:r w:rsidR="006B1E43" w:rsidRPr="002764D6">
        <w:rPr>
          <w:rFonts w:cstheme="minorHAnsi"/>
        </w:rPr>
        <w:t xml:space="preserve"> </w:t>
      </w:r>
      <w:r w:rsidRPr="002764D6">
        <w:rPr>
          <w:rFonts w:cstheme="minorHAnsi"/>
        </w:rPr>
        <w:t>augusti</w:t>
      </w:r>
      <w:r w:rsidR="006B1E43" w:rsidRPr="002764D6">
        <w:rPr>
          <w:rFonts w:cstheme="minorHAnsi"/>
        </w:rPr>
        <w:t xml:space="preserve"> 202</w:t>
      </w:r>
      <w:r w:rsidRPr="002764D6">
        <w:rPr>
          <w:rFonts w:cstheme="minorHAnsi"/>
        </w:rPr>
        <w:t>3</w:t>
      </w:r>
      <w:r w:rsidR="006B1E43" w:rsidRPr="002764D6">
        <w:rPr>
          <w:rFonts w:cstheme="minorHAnsi"/>
        </w:rPr>
        <w:tab/>
        <w:t>Avstämningsdag för rätt till deltagande i Företrädesemissionen</w:t>
      </w:r>
      <w:r w:rsidR="00DF2FDE" w:rsidRPr="002764D6">
        <w:rPr>
          <w:rFonts w:cstheme="minorHAnsi"/>
        </w:rPr>
        <w:t>.</w:t>
      </w:r>
    </w:p>
    <w:p w14:paraId="43DC3F64" w14:textId="6F498968" w:rsidR="006B1E43" w:rsidRPr="002764D6" w:rsidRDefault="00ED08E1" w:rsidP="006B1E43">
      <w:pPr>
        <w:tabs>
          <w:tab w:val="left" w:pos="2977"/>
        </w:tabs>
        <w:autoSpaceDE w:val="0"/>
        <w:autoSpaceDN w:val="0"/>
        <w:adjustRightInd w:val="0"/>
        <w:spacing w:line="252" w:lineRule="auto"/>
        <w:rPr>
          <w:rFonts w:cstheme="minorHAnsi"/>
        </w:rPr>
      </w:pPr>
      <w:r w:rsidRPr="002764D6">
        <w:rPr>
          <w:rFonts w:cstheme="minorHAnsi"/>
        </w:rPr>
        <w:t>24</w:t>
      </w:r>
      <w:r w:rsidR="006B1E43" w:rsidRPr="002764D6">
        <w:rPr>
          <w:rFonts w:cstheme="minorHAnsi"/>
        </w:rPr>
        <w:t xml:space="preserve"> </w:t>
      </w:r>
      <w:r w:rsidRPr="002764D6">
        <w:rPr>
          <w:rFonts w:cstheme="minorHAnsi"/>
        </w:rPr>
        <w:t>augusti</w:t>
      </w:r>
      <w:r w:rsidR="006B1E43" w:rsidRPr="002764D6">
        <w:rPr>
          <w:rFonts w:cstheme="minorHAnsi"/>
        </w:rPr>
        <w:t xml:space="preserve"> – </w:t>
      </w:r>
      <w:r w:rsidR="00FB2FC5" w:rsidRPr="002764D6">
        <w:rPr>
          <w:rFonts w:cstheme="minorHAnsi"/>
        </w:rPr>
        <w:t>8</w:t>
      </w:r>
      <w:r w:rsidR="006B1E43" w:rsidRPr="002764D6">
        <w:rPr>
          <w:rFonts w:cstheme="minorHAnsi"/>
        </w:rPr>
        <w:t xml:space="preserve"> </w:t>
      </w:r>
      <w:r w:rsidR="00FB2FC5" w:rsidRPr="002764D6">
        <w:rPr>
          <w:rFonts w:cstheme="minorHAnsi"/>
        </w:rPr>
        <w:t>september</w:t>
      </w:r>
      <w:r w:rsidR="006B1E43" w:rsidRPr="002764D6">
        <w:rPr>
          <w:rFonts w:cstheme="minorHAnsi"/>
        </w:rPr>
        <w:t xml:space="preserve"> 202</w:t>
      </w:r>
      <w:r w:rsidR="00FB2FC5" w:rsidRPr="002764D6">
        <w:rPr>
          <w:rFonts w:cstheme="minorHAnsi"/>
        </w:rPr>
        <w:t>3</w:t>
      </w:r>
      <w:r w:rsidR="006B1E43" w:rsidRPr="002764D6">
        <w:rPr>
          <w:rFonts w:cstheme="minorHAnsi"/>
        </w:rPr>
        <w:tab/>
        <w:t>Teckningsperiod</w:t>
      </w:r>
      <w:r w:rsidR="00DF2FDE" w:rsidRPr="002764D6">
        <w:rPr>
          <w:rFonts w:cstheme="minorHAnsi"/>
        </w:rPr>
        <w:t>.</w:t>
      </w:r>
    </w:p>
    <w:p w14:paraId="7378C06F" w14:textId="1C7B4F30" w:rsidR="006B1E43" w:rsidRPr="002764D6" w:rsidRDefault="00FB2FC5" w:rsidP="006B1E43">
      <w:pPr>
        <w:tabs>
          <w:tab w:val="left" w:pos="2977"/>
        </w:tabs>
        <w:autoSpaceDE w:val="0"/>
        <w:autoSpaceDN w:val="0"/>
        <w:adjustRightInd w:val="0"/>
        <w:spacing w:line="252" w:lineRule="auto"/>
        <w:rPr>
          <w:rFonts w:cstheme="minorHAnsi"/>
        </w:rPr>
      </w:pPr>
      <w:r w:rsidRPr="002764D6">
        <w:rPr>
          <w:rFonts w:cstheme="minorHAnsi"/>
        </w:rPr>
        <w:t>24</w:t>
      </w:r>
      <w:r w:rsidR="006B1E43" w:rsidRPr="002764D6">
        <w:rPr>
          <w:rFonts w:cstheme="minorHAnsi"/>
        </w:rPr>
        <w:t xml:space="preserve"> </w:t>
      </w:r>
      <w:r w:rsidRPr="002764D6">
        <w:rPr>
          <w:rFonts w:cstheme="minorHAnsi"/>
        </w:rPr>
        <w:t>augusti</w:t>
      </w:r>
      <w:r w:rsidR="006B1E43" w:rsidRPr="002764D6">
        <w:rPr>
          <w:rFonts w:cstheme="minorHAnsi"/>
        </w:rPr>
        <w:t xml:space="preserve"> – </w:t>
      </w:r>
      <w:r w:rsidRPr="002764D6">
        <w:rPr>
          <w:rFonts w:cstheme="minorHAnsi"/>
        </w:rPr>
        <w:t>5</w:t>
      </w:r>
      <w:r w:rsidR="006B1E43" w:rsidRPr="002764D6">
        <w:rPr>
          <w:rFonts w:cstheme="minorHAnsi"/>
        </w:rPr>
        <w:t xml:space="preserve"> </w:t>
      </w:r>
      <w:r w:rsidRPr="002764D6">
        <w:rPr>
          <w:rFonts w:cstheme="minorHAnsi"/>
        </w:rPr>
        <w:t>september</w:t>
      </w:r>
      <w:r w:rsidR="006B1E43" w:rsidRPr="002764D6">
        <w:rPr>
          <w:rFonts w:cstheme="minorHAnsi"/>
        </w:rPr>
        <w:t xml:space="preserve"> 202</w:t>
      </w:r>
      <w:r w:rsidRPr="002764D6">
        <w:rPr>
          <w:rFonts w:cstheme="minorHAnsi"/>
        </w:rPr>
        <w:t>3</w:t>
      </w:r>
      <w:r w:rsidR="006B1E43" w:rsidRPr="002764D6">
        <w:rPr>
          <w:rFonts w:cstheme="minorHAnsi"/>
        </w:rPr>
        <w:tab/>
        <w:t xml:space="preserve">Handel med </w:t>
      </w:r>
      <w:proofErr w:type="spellStart"/>
      <w:r w:rsidR="007B5907" w:rsidRPr="002764D6">
        <w:rPr>
          <w:rFonts w:cstheme="minorHAnsi"/>
        </w:rPr>
        <w:t>unit</w:t>
      </w:r>
      <w:r w:rsidR="006B1E43" w:rsidRPr="002764D6">
        <w:rPr>
          <w:rFonts w:cstheme="minorHAnsi"/>
        </w:rPr>
        <w:t>rätter</w:t>
      </w:r>
      <w:proofErr w:type="spellEnd"/>
      <w:r w:rsidR="00DF2FDE" w:rsidRPr="002764D6">
        <w:rPr>
          <w:rFonts w:cstheme="minorHAnsi"/>
        </w:rPr>
        <w:t>.</w:t>
      </w:r>
    </w:p>
    <w:p w14:paraId="7A7B4BBF" w14:textId="10ABF44D" w:rsidR="006B1E43" w:rsidRPr="002764D6" w:rsidRDefault="00742BA6" w:rsidP="006B1E43">
      <w:pPr>
        <w:tabs>
          <w:tab w:val="left" w:pos="2977"/>
        </w:tabs>
        <w:autoSpaceDE w:val="0"/>
        <w:autoSpaceDN w:val="0"/>
        <w:adjustRightInd w:val="0"/>
        <w:spacing w:line="252" w:lineRule="auto"/>
        <w:rPr>
          <w:rFonts w:cstheme="minorHAnsi"/>
        </w:rPr>
      </w:pPr>
      <w:r w:rsidRPr="002764D6">
        <w:rPr>
          <w:rFonts w:cstheme="minorHAnsi"/>
        </w:rPr>
        <w:t>24</w:t>
      </w:r>
      <w:r w:rsidR="006B1E43" w:rsidRPr="002764D6">
        <w:rPr>
          <w:rFonts w:cstheme="minorHAnsi"/>
        </w:rPr>
        <w:t xml:space="preserve"> </w:t>
      </w:r>
      <w:r w:rsidRPr="002764D6">
        <w:rPr>
          <w:rFonts w:cstheme="minorHAnsi"/>
        </w:rPr>
        <w:t>augusti</w:t>
      </w:r>
      <w:r w:rsidR="006B1E43" w:rsidRPr="002764D6">
        <w:rPr>
          <w:rFonts w:cstheme="minorHAnsi"/>
        </w:rPr>
        <w:t xml:space="preserve"> 202</w:t>
      </w:r>
      <w:r w:rsidRPr="002764D6">
        <w:rPr>
          <w:rFonts w:cstheme="minorHAnsi"/>
        </w:rPr>
        <w:t>3</w:t>
      </w:r>
      <w:r w:rsidR="006B1E43" w:rsidRPr="002764D6">
        <w:rPr>
          <w:rFonts w:cstheme="minorHAnsi"/>
        </w:rPr>
        <w:t xml:space="preserve"> </w:t>
      </w:r>
      <w:r w:rsidR="006B1E43" w:rsidRPr="002764D6">
        <w:t xml:space="preserve">till dess att Företrädesemissionen är registrerad hos Bolagsverket - Handel i </w:t>
      </w:r>
      <w:r w:rsidR="00DF2FDE" w:rsidRPr="002764D6">
        <w:t>BTU.</w:t>
      </w:r>
    </w:p>
    <w:p w14:paraId="6715CE1A" w14:textId="2FC7F6BB" w:rsidR="006B1E43" w:rsidRPr="002764D6" w:rsidRDefault="000E703E" w:rsidP="006B1E43">
      <w:pPr>
        <w:tabs>
          <w:tab w:val="left" w:pos="2977"/>
        </w:tabs>
        <w:autoSpaceDE w:val="0"/>
        <w:autoSpaceDN w:val="0"/>
        <w:adjustRightInd w:val="0"/>
        <w:spacing w:line="252" w:lineRule="auto"/>
        <w:ind w:left="2976" w:hanging="2976"/>
        <w:rPr>
          <w:rFonts w:cstheme="minorHAnsi"/>
        </w:rPr>
      </w:pPr>
      <w:r w:rsidRPr="002764D6">
        <w:rPr>
          <w:rFonts w:cstheme="minorHAnsi"/>
        </w:rPr>
        <w:t>11</w:t>
      </w:r>
      <w:r w:rsidR="006B1E43" w:rsidRPr="002764D6">
        <w:rPr>
          <w:rFonts w:cstheme="minorHAnsi"/>
        </w:rPr>
        <w:t xml:space="preserve"> </w:t>
      </w:r>
      <w:r w:rsidRPr="002764D6">
        <w:rPr>
          <w:rFonts w:cstheme="minorHAnsi"/>
        </w:rPr>
        <w:t>september</w:t>
      </w:r>
      <w:r w:rsidR="006B1E43" w:rsidRPr="002764D6">
        <w:rPr>
          <w:rFonts w:cstheme="minorHAnsi"/>
        </w:rPr>
        <w:t xml:space="preserve"> 202</w:t>
      </w:r>
      <w:r w:rsidR="00B32D4F" w:rsidRPr="002764D6">
        <w:rPr>
          <w:rFonts w:cstheme="minorHAnsi"/>
        </w:rPr>
        <w:t>3</w:t>
      </w:r>
      <w:r w:rsidR="006B1E43" w:rsidRPr="002764D6">
        <w:rPr>
          <w:rFonts w:cstheme="minorHAnsi"/>
        </w:rPr>
        <w:tab/>
      </w:r>
      <w:r w:rsidR="006B1E43" w:rsidRPr="002764D6">
        <w:rPr>
          <w:rFonts w:cstheme="minorHAnsi"/>
        </w:rPr>
        <w:tab/>
        <w:t>Beräknad dag för offentliggörande av utfallet i Företrädesemission</w:t>
      </w:r>
      <w:r w:rsidR="00B32D4F" w:rsidRPr="002764D6">
        <w:rPr>
          <w:rFonts w:cstheme="minorHAnsi"/>
        </w:rPr>
        <w:t>en</w:t>
      </w:r>
      <w:r w:rsidR="00DF2FDE" w:rsidRPr="002764D6">
        <w:rPr>
          <w:rFonts w:cstheme="minorHAnsi"/>
        </w:rPr>
        <w:t>.</w:t>
      </w:r>
    </w:p>
    <w:p w14:paraId="4A90B50E" w14:textId="77777777" w:rsidR="006B1E43" w:rsidRPr="002764D6" w:rsidRDefault="006B1E43" w:rsidP="006B1E43">
      <w:pPr>
        <w:pStyle w:val="Rubrik3"/>
        <w:rPr>
          <w:rFonts w:asciiTheme="minorHAnsi" w:hAnsiTheme="minorHAnsi" w:cstheme="minorHAnsi"/>
          <w:sz w:val="22"/>
          <w:szCs w:val="22"/>
        </w:rPr>
      </w:pPr>
      <w:r w:rsidRPr="002764D6">
        <w:rPr>
          <w:rFonts w:asciiTheme="minorHAnsi" w:hAnsiTheme="minorHAnsi" w:cstheme="minorHAnsi"/>
          <w:sz w:val="22"/>
          <w:szCs w:val="22"/>
        </w:rPr>
        <w:t>Extra bolagsstämma</w:t>
      </w:r>
    </w:p>
    <w:p w14:paraId="2C7EAC5C" w14:textId="6AE14803" w:rsidR="006B1E43" w:rsidRPr="002764D6" w:rsidRDefault="006B1E43" w:rsidP="006B1E43">
      <w:pPr>
        <w:autoSpaceDE w:val="0"/>
        <w:autoSpaceDN w:val="0"/>
        <w:adjustRightInd w:val="0"/>
        <w:spacing w:line="252" w:lineRule="auto"/>
        <w:rPr>
          <w:rFonts w:cstheme="minorHAnsi"/>
        </w:rPr>
      </w:pPr>
      <w:r w:rsidRPr="002764D6">
        <w:rPr>
          <w:rFonts w:cstheme="minorHAnsi"/>
        </w:rPr>
        <w:t xml:space="preserve">Styrelsens beslut om Företrädesemissionen är villkorat av godkännande vid extra bolagsstämma den </w:t>
      </w:r>
      <w:r w:rsidR="00B27F8F">
        <w:rPr>
          <w:rFonts w:cstheme="minorHAnsi"/>
        </w:rPr>
        <w:t>17</w:t>
      </w:r>
      <w:r w:rsidRPr="002764D6">
        <w:rPr>
          <w:rFonts w:cstheme="minorHAnsi"/>
        </w:rPr>
        <w:t xml:space="preserve"> </w:t>
      </w:r>
      <w:r w:rsidR="00400629" w:rsidRPr="002764D6">
        <w:rPr>
          <w:rFonts w:cstheme="minorHAnsi"/>
        </w:rPr>
        <w:t>augusti</w:t>
      </w:r>
      <w:r w:rsidRPr="002764D6">
        <w:rPr>
          <w:rFonts w:cstheme="minorHAnsi"/>
        </w:rPr>
        <w:t xml:space="preserve"> 202</w:t>
      </w:r>
      <w:r w:rsidR="00400629" w:rsidRPr="002764D6">
        <w:rPr>
          <w:rFonts w:cstheme="minorHAnsi"/>
        </w:rPr>
        <w:t>3</w:t>
      </w:r>
      <w:r w:rsidRPr="002764D6">
        <w:rPr>
          <w:rFonts w:cstheme="minorHAnsi"/>
        </w:rPr>
        <w:t xml:space="preserve">. </w:t>
      </w:r>
      <w:r w:rsidR="00772C09" w:rsidRPr="002764D6">
        <w:rPr>
          <w:rFonts w:cstheme="minorHAnsi"/>
        </w:rPr>
        <w:t xml:space="preserve">Beslutet om Företrädesemissionen förutsätter och är villkorat av att gränserna för aktiekapital och antal aktier i bolagsordningen ändras i enlighet med styrelsens förslag till den extra bolagsstämman. </w:t>
      </w:r>
      <w:r w:rsidRPr="002764D6">
        <w:rPr>
          <w:rFonts w:cstheme="minorHAnsi"/>
        </w:rPr>
        <w:t xml:space="preserve">Kallelse till den extra bolagsstämman kommer att offentliggöras genom separat pressmeddelande. </w:t>
      </w:r>
    </w:p>
    <w:p w14:paraId="24B84942" w14:textId="48B7FBDB" w:rsidR="005E7489" w:rsidRPr="002764D6" w:rsidRDefault="006D3D6F" w:rsidP="006B1E43">
      <w:pPr>
        <w:autoSpaceDE w:val="0"/>
        <w:autoSpaceDN w:val="0"/>
        <w:adjustRightInd w:val="0"/>
        <w:spacing w:line="252" w:lineRule="auto"/>
        <w:rPr>
          <w:rFonts w:cstheme="minorHAnsi"/>
          <w:b/>
          <w:bCs/>
        </w:rPr>
      </w:pPr>
      <w:r w:rsidRPr="002764D6">
        <w:rPr>
          <w:rFonts w:cstheme="minorHAnsi"/>
          <w:b/>
          <w:bCs/>
        </w:rPr>
        <w:t>Nytt datum för offentliggörande av Q2-rapporten</w:t>
      </w:r>
    </w:p>
    <w:p w14:paraId="7522DDDA" w14:textId="55CFCA47" w:rsidR="006D3D6F" w:rsidRPr="002764D6" w:rsidRDefault="00C0372A" w:rsidP="006B1E43">
      <w:pPr>
        <w:autoSpaceDE w:val="0"/>
        <w:autoSpaceDN w:val="0"/>
        <w:adjustRightInd w:val="0"/>
        <w:spacing w:line="252" w:lineRule="auto"/>
        <w:rPr>
          <w:rFonts w:cstheme="minorHAnsi"/>
        </w:rPr>
      </w:pPr>
      <w:r w:rsidRPr="002764D6">
        <w:rPr>
          <w:rFonts w:cstheme="minorHAnsi"/>
        </w:rPr>
        <w:t xml:space="preserve">I syfte att ge samtliga aktieägare och marknaden uppdaterad finansiell information inför Företrädesemissionen har styrelsen i Arcede beslutat att </w:t>
      </w:r>
      <w:r w:rsidR="00772C09" w:rsidRPr="002764D6">
        <w:rPr>
          <w:rFonts w:cstheme="minorHAnsi"/>
        </w:rPr>
        <w:t>tidigarelägga</w:t>
      </w:r>
      <w:r w:rsidRPr="002764D6">
        <w:rPr>
          <w:rFonts w:cstheme="minorHAnsi"/>
        </w:rPr>
        <w:t xml:space="preserve"> offentliggörandet av delårsrapporten för det andra kvartalet 2023 från den 28 augusti 2023 till den </w:t>
      </w:r>
      <w:r w:rsidR="00B530D5" w:rsidRPr="002764D6">
        <w:rPr>
          <w:rFonts w:cstheme="minorHAnsi"/>
        </w:rPr>
        <w:t>11</w:t>
      </w:r>
      <w:r w:rsidRPr="002764D6">
        <w:rPr>
          <w:rFonts w:cstheme="minorHAnsi"/>
        </w:rPr>
        <w:t xml:space="preserve"> </w:t>
      </w:r>
      <w:r w:rsidR="00B530D5" w:rsidRPr="002764D6">
        <w:rPr>
          <w:rFonts w:cstheme="minorHAnsi"/>
        </w:rPr>
        <w:t>augusti</w:t>
      </w:r>
      <w:r w:rsidRPr="002764D6">
        <w:rPr>
          <w:rFonts w:cstheme="minorHAnsi"/>
        </w:rPr>
        <w:t xml:space="preserve"> 202</w:t>
      </w:r>
      <w:r w:rsidR="00B530D5" w:rsidRPr="002764D6">
        <w:rPr>
          <w:rFonts w:cstheme="minorHAnsi"/>
        </w:rPr>
        <w:t>3</w:t>
      </w:r>
      <w:r w:rsidRPr="002764D6">
        <w:rPr>
          <w:rFonts w:cstheme="minorHAnsi"/>
        </w:rPr>
        <w:t>.</w:t>
      </w:r>
    </w:p>
    <w:p w14:paraId="12A709D6" w14:textId="11AACE60" w:rsidR="006B1E43" w:rsidRPr="002764D6" w:rsidRDefault="00FC3DE4" w:rsidP="006B1E43">
      <w:pPr>
        <w:pStyle w:val="Rubrik3"/>
        <w:rPr>
          <w:rFonts w:asciiTheme="minorHAnsi" w:hAnsiTheme="minorHAnsi" w:cstheme="minorHAnsi"/>
          <w:sz w:val="22"/>
          <w:szCs w:val="22"/>
        </w:rPr>
      </w:pPr>
      <w:r w:rsidRPr="002764D6">
        <w:rPr>
          <w:rFonts w:asciiTheme="minorHAnsi" w:hAnsiTheme="minorHAnsi" w:cstheme="minorHAnsi"/>
          <w:sz w:val="22"/>
          <w:szCs w:val="22"/>
        </w:rPr>
        <w:t>Memorandum</w:t>
      </w:r>
    </w:p>
    <w:p w14:paraId="2D310400" w14:textId="02D5431A" w:rsidR="006B1E43" w:rsidRPr="002764D6" w:rsidRDefault="006B1E43" w:rsidP="006B1E43">
      <w:pPr>
        <w:autoSpaceDE w:val="0"/>
        <w:autoSpaceDN w:val="0"/>
        <w:adjustRightInd w:val="0"/>
        <w:spacing w:line="252" w:lineRule="auto"/>
        <w:rPr>
          <w:rFonts w:cstheme="minorHAnsi"/>
        </w:rPr>
      </w:pPr>
      <w:r w:rsidRPr="002764D6">
        <w:rPr>
          <w:rFonts w:cstheme="minorHAnsi"/>
        </w:rPr>
        <w:t xml:space="preserve">Fullständiga villkor och anvisningar för Företrädesemissionen samt övrig information om Bolaget kommer att framgå av det </w:t>
      </w:r>
      <w:r w:rsidR="00D062DA" w:rsidRPr="002764D6">
        <w:rPr>
          <w:rFonts w:cstheme="minorHAnsi"/>
        </w:rPr>
        <w:t>memorandum</w:t>
      </w:r>
      <w:r w:rsidRPr="002764D6">
        <w:rPr>
          <w:rFonts w:cstheme="minorHAnsi"/>
        </w:rPr>
        <w:t xml:space="preserve"> (”</w:t>
      </w:r>
      <w:r w:rsidR="00F15377" w:rsidRPr="002764D6">
        <w:rPr>
          <w:rFonts w:cstheme="minorHAnsi"/>
          <w:b/>
        </w:rPr>
        <w:t>Memorandumet</w:t>
      </w:r>
      <w:r w:rsidRPr="002764D6">
        <w:rPr>
          <w:rFonts w:cstheme="minorHAnsi"/>
        </w:rPr>
        <w:t xml:space="preserve">”) som beräknas offentliggöras av Bolaget omkring den </w:t>
      </w:r>
      <w:r w:rsidR="00F15377" w:rsidRPr="002764D6">
        <w:rPr>
          <w:rFonts w:cstheme="minorHAnsi"/>
        </w:rPr>
        <w:t>2</w:t>
      </w:r>
      <w:r w:rsidR="00B008CC" w:rsidRPr="002764D6">
        <w:rPr>
          <w:rFonts w:cstheme="minorHAnsi"/>
        </w:rPr>
        <w:t>1</w:t>
      </w:r>
      <w:r w:rsidRPr="002764D6">
        <w:rPr>
          <w:rFonts w:cstheme="minorHAnsi"/>
        </w:rPr>
        <w:t xml:space="preserve"> </w:t>
      </w:r>
      <w:r w:rsidR="00F15377" w:rsidRPr="002764D6">
        <w:rPr>
          <w:rFonts w:cstheme="minorHAnsi"/>
        </w:rPr>
        <w:t>augusti</w:t>
      </w:r>
      <w:r w:rsidRPr="002764D6">
        <w:rPr>
          <w:rFonts w:cstheme="minorHAnsi"/>
        </w:rPr>
        <w:t xml:space="preserve"> 202</w:t>
      </w:r>
      <w:r w:rsidR="00F15377" w:rsidRPr="002764D6">
        <w:rPr>
          <w:rFonts w:cstheme="minorHAnsi"/>
        </w:rPr>
        <w:t>3</w:t>
      </w:r>
      <w:r w:rsidRPr="002764D6">
        <w:rPr>
          <w:rFonts w:cstheme="minorHAnsi"/>
        </w:rPr>
        <w:t xml:space="preserve">. </w:t>
      </w:r>
    </w:p>
    <w:p w14:paraId="077EA130" w14:textId="77777777" w:rsidR="006B1E43" w:rsidRPr="002764D6" w:rsidRDefault="006B1E43" w:rsidP="006B1E43">
      <w:pPr>
        <w:pStyle w:val="Rubrik3"/>
        <w:rPr>
          <w:rFonts w:asciiTheme="minorHAnsi" w:hAnsiTheme="minorHAnsi" w:cstheme="minorHAnsi"/>
          <w:sz w:val="22"/>
          <w:szCs w:val="22"/>
        </w:rPr>
      </w:pPr>
      <w:r w:rsidRPr="002764D6">
        <w:rPr>
          <w:rFonts w:asciiTheme="minorHAnsi" w:hAnsiTheme="minorHAnsi" w:cstheme="minorHAnsi"/>
          <w:sz w:val="22"/>
          <w:szCs w:val="22"/>
        </w:rPr>
        <w:t xml:space="preserve">Finansiell och legal rådgivare </w:t>
      </w:r>
    </w:p>
    <w:p w14:paraId="618B76B3" w14:textId="1760F40A" w:rsidR="006B1E43" w:rsidRPr="002764D6" w:rsidRDefault="006B1E43" w:rsidP="00CC0D77">
      <w:pPr>
        <w:autoSpaceDE w:val="0"/>
        <w:autoSpaceDN w:val="0"/>
        <w:adjustRightInd w:val="0"/>
        <w:spacing w:line="252" w:lineRule="auto"/>
        <w:rPr>
          <w:rFonts w:cstheme="minorHAnsi"/>
        </w:rPr>
      </w:pPr>
      <w:r w:rsidRPr="002764D6">
        <w:rPr>
          <w:rFonts w:cstheme="minorHAnsi"/>
        </w:rPr>
        <w:t xml:space="preserve">Västra Hamnen Corporate Finance AB är finansiell rådgivare och Setterwalls Advokatbyrå AB är legal rådgivare till </w:t>
      </w:r>
      <w:r w:rsidR="00232302" w:rsidRPr="002764D6">
        <w:rPr>
          <w:rFonts w:cstheme="minorHAnsi"/>
        </w:rPr>
        <w:t>Arcede</w:t>
      </w:r>
      <w:r w:rsidRPr="002764D6">
        <w:rPr>
          <w:rFonts w:cstheme="minorHAnsi"/>
        </w:rPr>
        <w:t xml:space="preserve"> i samband med Företrädesemissionen. </w:t>
      </w:r>
    </w:p>
    <w:p w14:paraId="3E558F10" w14:textId="77777777" w:rsidR="006B1E43" w:rsidRPr="002764D6" w:rsidRDefault="006B1E43" w:rsidP="006B1E43">
      <w:pPr>
        <w:rPr>
          <w:rFonts w:cstheme="minorHAnsi"/>
          <w:b/>
          <w:bCs/>
        </w:rPr>
      </w:pPr>
      <w:r w:rsidRPr="002764D6">
        <w:rPr>
          <w:rFonts w:cstheme="minorHAnsi"/>
          <w:b/>
          <w:bCs/>
        </w:rPr>
        <w:t>För mer information:</w:t>
      </w:r>
    </w:p>
    <w:p w14:paraId="735E3113" w14:textId="2EEA0F0B" w:rsidR="006B1E43" w:rsidRPr="002764D6" w:rsidRDefault="00232302" w:rsidP="006B1E43">
      <w:pPr>
        <w:rPr>
          <w:rFonts w:cstheme="minorHAnsi"/>
        </w:rPr>
      </w:pPr>
      <w:r w:rsidRPr="002764D6">
        <w:rPr>
          <w:rFonts w:cstheme="minorHAnsi"/>
        </w:rPr>
        <w:t>Mia</w:t>
      </w:r>
      <w:r w:rsidR="00421926" w:rsidRPr="002764D6">
        <w:rPr>
          <w:rFonts w:cstheme="minorHAnsi"/>
        </w:rPr>
        <w:t xml:space="preserve"> Lundblad</w:t>
      </w:r>
      <w:r w:rsidR="006B1E43" w:rsidRPr="002764D6">
        <w:rPr>
          <w:rFonts w:cstheme="minorHAnsi"/>
        </w:rPr>
        <w:t xml:space="preserve">, </w:t>
      </w:r>
      <w:r w:rsidR="00421926" w:rsidRPr="002764D6">
        <w:rPr>
          <w:rFonts w:cstheme="minorHAnsi"/>
        </w:rPr>
        <w:t>VD</w:t>
      </w:r>
      <w:r w:rsidR="006B1E43" w:rsidRPr="002764D6">
        <w:rPr>
          <w:rFonts w:cstheme="minorHAnsi"/>
        </w:rPr>
        <w:t xml:space="preserve">, </w:t>
      </w:r>
      <w:r w:rsidR="005A19F6" w:rsidRPr="002764D6">
        <w:rPr>
          <w:rFonts w:cstheme="minorHAnsi"/>
        </w:rPr>
        <w:t>Arcede Pharma</w:t>
      </w:r>
      <w:r w:rsidR="006B1E43" w:rsidRPr="002764D6">
        <w:rPr>
          <w:rFonts w:cstheme="minorHAnsi"/>
        </w:rPr>
        <w:t xml:space="preserve"> AB                                  </w:t>
      </w:r>
    </w:p>
    <w:p w14:paraId="7F8DA50D" w14:textId="16791C22" w:rsidR="006B1E43" w:rsidRPr="002764D6" w:rsidRDefault="00672942" w:rsidP="006B1E43">
      <w:pPr>
        <w:rPr>
          <w:rFonts w:cstheme="minorHAnsi"/>
        </w:rPr>
      </w:pPr>
      <w:r w:rsidRPr="002764D6">
        <w:t>mia</w:t>
      </w:r>
      <w:r w:rsidR="006B1E43" w:rsidRPr="002764D6">
        <w:t>.</w:t>
      </w:r>
      <w:r w:rsidRPr="002764D6">
        <w:t>lundblad</w:t>
      </w:r>
      <w:r w:rsidR="006B1E43" w:rsidRPr="002764D6">
        <w:t>@</w:t>
      </w:r>
      <w:r w:rsidRPr="002764D6">
        <w:t>arcedepharma</w:t>
      </w:r>
      <w:r w:rsidR="006B1E43" w:rsidRPr="002764D6">
        <w:t>.com</w:t>
      </w:r>
    </w:p>
    <w:p w14:paraId="7CFBFC8C" w14:textId="6B9FA242" w:rsidR="006B1E43" w:rsidRPr="002764D6" w:rsidRDefault="006B1E43" w:rsidP="006B1E43">
      <w:pPr>
        <w:rPr>
          <w:rFonts w:cstheme="minorHAnsi"/>
        </w:rPr>
      </w:pPr>
      <w:r w:rsidRPr="002764D6">
        <w:rPr>
          <w:rFonts w:cstheme="minorHAnsi"/>
        </w:rPr>
        <w:t>+46 </w:t>
      </w:r>
      <w:r w:rsidR="00223745" w:rsidRPr="002764D6">
        <w:rPr>
          <w:rFonts w:cstheme="minorHAnsi"/>
        </w:rPr>
        <w:t>723</w:t>
      </w:r>
      <w:r w:rsidR="00237BB0" w:rsidRPr="002764D6">
        <w:rPr>
          <w:rFonts w:cstheme="minorHAnsi"/>
        </w:rPr>
        <w:t> </w:t>
      </w:r>
      <w:r w:rsidR="00223745" w:rsidRPr="002764D6">
        <w:rPr>
          <w:rFonts w:cstheme="minorHAnsi"/>
        </w:rPr>
        <w:t>122</w:t>
      </w:r>
      <w:r w:rsidR="00237BB0" w:rsidRPr="002764D6">
        <w:rPr>
          <w:rFonts w:cstheme="minorHAnsi"/>
        </w:rPr>
        <w:t xml:space="preserve"> </w:t>
      </w:r>
      <w:r w:rsidR="00223745" w:rsidRPr="002764D6">
        <w:rPr>
          <w:rFonts w:cstheme="minorHAnsi"/>
        </w:rPr>
        <w:t>744</w:t>
      </w:r>
    </w:p>
    <w:p w14:paraId="2E779A9E" w14:textId="5B324F34" w:rsidR="006B1E43" w:rsidRPr="002764D6" w:rsidRDefault="006B1E43" w:rsidP="006B1E43">
      <w:pPr>
        <w:rPr>
          <w:rFonts w:cstheme="minorHAnsi"/>
          <w:i/>
          <w:iCs/>
        </w:rPr>
      </w:pPr>
      <w:r w:rsidRPr="002764D6">
        <w:rPr>
          <w:rFonts w:cstheme="minorHAnsi"/>
          <w:i/>
          <w:iCs/>
        </w:rPr>
        <w:lastRenderedPageBreak/>
        <w:t xml:space="preserve">Denna information är sådan information som </w:t>
      </w:r>
      <w:r w:rsidR="005361E4" w:rsidRPr="002764D6">
        <w:rPr>
          <w:rFonts w:cstheme="minorHAnsi"/>
          <w:i/>
          <w:iCs/>
        </w:rPr>
        <w:t>Arcede Pharma</w:t>
      </w:r>
      <w:r w:rsidRPr="002764D6">
        <w:rPr>
          <w:rFonts w:cstheme="minorHAnsi"/>
          <w:i/>
          <w:iCs/>
        </w:rPr>
        <w:t xml:space="preserve"> AB (publ) är skyldigt att offentliggöra enligt EU:s marknadsmissbruksförordning. Informationen lämnades, genom ovanstående kontaktpersons försorg, för offentliggörande den </w:t>
      </w:r>
      <w:r w:rsidR="00D37E52" w:rsidRPr="002764D6">
        <w:rPr>
          <w:rFonts w:cstheme="minorHAnsi"/>
          <w:i/>
          <w:iCs/>
        </w:rPr>
        <w:t>14</w:t>
      </w:r>
      <w:r w:rsidRPr="002764D6">
        <w:rPr>
          <w:rFonts w:cstheme="minorHAnsi"/>
          <w:i/>
          <w:iCs/>
        </w:rPr>
        <w:t xml:space="preserve"> </w:t>
      </w:r>
      <w:r w:rsidR="00794A23" w:rsidRPr="002764D6">
        <w:rPr>
          <w:rFonts w:cstheme="minorHAnsi"/>
          <w:i/>
          <w:iCs/>
        </w:rPr>
        <w:t>juli</w:t>
      </w:r>
      <w:r w:rsidRPr="002764D6">
        <w:rPr>
          <w:rFonts w:cstheme="minorHAnsi"/>
          <w:i/>
          <w:iCs/>
        </w:rPr>
        <w:t xml:space="preserve"> 202</w:t>
      </w:r>
      <w:r w:rsidR="00EE28EA" w:rsidRPr="002764D6">
        <w:rPr>
          <w:rFonts w:cstheme="minorHAnsi"/>
          <w:i/>
          <w:iCs/>
        </w:rPr>
        <w:t>3</w:t>
      </w:r>
      <w:r w:rsidRPr="002764D6">
        <w:rPr>
          <w:rFonts w:cstheme="minorHAnsi"/>
          <w:i/>
          <w:iCs/>
        </w:rPr>
        <w:t xml:space="preserve"> kl. [</w:t>
      </w:r>
      <w:r w:rsidRPr="002764D6">
        <w:rPr>
          <w:rFonts w:cstheme="minorHAnsi"/>
          <w:i/>
          <w:iCs/>
          <w:highlight w:val="yellow"/>
        </w:rPr>
        <w:t>8.00</w:t>
      </w:r>
      <w:r w:rsidRPr="002764D6">
        <w:rPr>
          <w:rFonts w:cstheme="minorHAnsi"/>
          <w:i/>
          <w:iCs/>
        </w:rPr>
        <w:t>] (CET).</w:t>
      </w:r>
    </w:p>
    <w:p w14:paraId="3D7358A5" w14:textId="36C2B08F" w:rsidR="006B1E43" w:rsidRPr="002764D6" w:rsidRDefault="006B1E43" w:rsidP="006B1E43">
      <w:pPr>
        <w:rPr>
          <w:rFonts w:cstheme="minorHAnsi"/>
          <w:b/>
        </w:rPr>
      </w:pPr>
      <w:r w:rsidRPr="002764D6">
        <w:rPr>
          <w:rFonts w:cstheme="minorHAnsi"/>
          <w:b/>
        </w:rPr>
        <w:t xml:space="preserve">Om </w:t>
      </w:r>
      <w:r w:rsidR="00EE28EA" w:rsidRPr="002764D6">
        <w:rPr>
          <w:rFonts w:cstheme="minorHAnsi"/>
          <w:b/>
        </w:rPr>
        <w:t>Arcede Pharma</w:t>
      </w:r>
      <w:r w:rsidRPr="002764D6">
        <w:rPr>
          <w:rFonts w:cstheme="minorHAnsi"/>
          <w:b/>
        </w:rPr>
        <w:t xml:space="preserve"> AB </w:t>
      </w:r>
    </w:p>
    <w:p w14:paraId="70A8A23C" w14:textId="7F8EEE7A" w:rsidR="00365081" w:rsidRPr="002764D6" w:rsidRDefault="00365081" w:rsidP="006B1E43">
      <w:pPr>
        <w:rPr>
          <w:rFonts w:cstheme="minorHAnsi"/>
        </w:rPr>
      </w:pPr>
      <w:r w:rsidRPr="002764D6">
        <w:rPr>
          <w:rFonts w:cstheme="minorHAnsi"/>
        </w:rPr>
        <w:t xml:space="preserve">Arcede </w:t>
      </w:r>
      <w:proofErr w:type="spellStart"/>
      <w:r w:rsidRPr="002764D6">
        <w:rPr>
          <w:rFonts w:cstheme="minorHAnsi"/>
        </w:rPr>
        <w:t>Pharmas</w:t>
      </w:r>
      <w:proofErr w:type="spellEnd"/>
      <w:r w:rsidRPr="002764D6">
        <w:rPr>
          <w:rFonts w:cstheme="minorHAnsi"/>
        </w:rPr>
        <w:t xml:space="preserve"> huvudsakliga projekt har som mål att utveckla en ny typ av inhalationsbehandling mot främst kronisk obstruktiv lungsjukdom (KOL) men även svår astma, med syftet att förbättra patienternas livskvalitet samt öka deras livslängd. Framför allt KOL är en sjukdom som har en stor negativ inverkan på patienterna och orsakar enormt lidande. Den globala dödligheten till följd av dessa sjukdomar är hög och ökar dessutom kontinuerligt. För mer information om Arcede Pharma, besök </w:t>
      </w:r>
      <w:hyperlink r:id="rId10" w:history="1">
        <w:r w:rsidRPr="002764D6">
          <w:rPr>
            <w:rStyle w:val="Hyperlnk"/>
            <w:rFonts w:cstheme="minorHAnsi"/>
          </w:rPr>
          <w:t>www.arcedepharma.com</w:t>
        </w:r>
      </w:hyperlink>
      <w:r w:rsidR="00FB3A19" w:rsidRPr="002764D6">
        <w:rPr>
          <w:rFonts w:cstheme="minorHAnsi"/>
        </w:rPr>
        <w:t>.</w:t>
      </w:r>
    </w:p>
    <w:p w14:paraId="6EC0F996" w14:textId="6C78C84A" w:rsidR="006B1E43" w:rsidRPr="002764D6" w:rsidRDefault="006B1E43" w:rsidP="006B1E43">
      <w:pPr>
        <w:rPr>
          <w:rFonts w:cstheme="minorHAnsi"/>
          <w:b/>
          <w:bCs/>
        </w:rPr>
      </w:pPr>
      <w:r w:rsidRPr="002764D6">
        <w:rPr>
          <w:rFonts w:cstheme="minorHAnsi"/>
          <w:b/>
          <w:bCs/>
        </w:rPr>
        <w:t>Viktig information</w:t>
      </w:r>
    </w:p>
    <w:p w14:paraId="196CAF97" w14:textId="75A8C21D" w:rsidR="00EE0394" w:rsidRPr="002764D6" w:rsidRDefault="00CE74BB" w:rsidP="006B1E43">
      <w:pPr>
        <w:autoSpaceDE w:val="0"/>
        <w:autoSpaceDN w:val="0"/>
        <w:adjustRightInd w:val="0"/>
        <w:jc w:val="both"/>
        <w:rPr>
          <w:rFonts w:ascii="Calibri" w:hAnsi="Calibri" w:cs="Calibri"/>
          <w:iCs/>
          <w:color w:val="000000" w:themeColor="text1"/>
          <w:lang w:eastAsia="ja-JP"/>
        </w:rPr>
      </w:pPr>
      <w:r w:rsidRPr="002764D6">
        <w:rPr>
          <w:rFonts w:ascii="Calibri" w:hAnsi="Calibri" w:cs="Calibri"/>
          <w:iCs/>
          <w:color w:val="000000" w:themeColor="text1"/>
          <w:lang w:eastAsia="ja-JP"/>
        </w:rPr>
        <w:t>Informationen i detta pressmeddelande varken innehåller eller utgör ett erbjudande att förvärva, teckna eller på annat sätt handla med aktier</w:t>
      </w:r>
      <w:r w:rsidR="00D92714">
        <w:rPr>
          <w:rFonts w:ascii="Calibri" w:hAnsi="Calibri" w:cs="Calibri"/>
          <w:iCs/>
          <w:color w:val="000000" w:themeColor="text1"/>
          <w:lang w:eastAsia="ja-JP"/>
        </w:rPr>
        <w:t>, teckningsoptioner</w:t>
      </w:r>
      <w:r w:rsidRPr="002764D6">
        <w:rPr>
          <w:rFonts w:ascii="Calibri" w:hAnsi="Calibri" w:cs="Calibri"/>
          <w:iCs/>
          <w:color w:val="000000" w:themeColor="text1"/>
          <w:lang w:eastAsia="ja-JP"/>
        </w:rPr>
        <w:t xml:space="preserve"> eller andra värdepapper i Arcede. Ingen åtgärd har vidtagits och åtgärder kommer inte att vidtas för att tillåta ett erbjudande till allmänheten i några andra jurisdiktioner än Sverige. Inbjudan till berörda personer att teckna </w:t>
      </w:r>
      <w:proofErr w:type="spellStart"/>
      <w:r w:rsidR="001653FC" w:rsidRPr="002764D6">
        <w:rPr>
          <w:rFonts w:ascii="Calibri" w:hAnsi="Calibri" w:cs="Calibri"/>
          <w:iCs/>
          <w:color w:val="000000" w:themeColor="text1"/>
          <w:lang w:eastAsia="ja-JP"/>
        </w:rPr>
        <w:t>Units</w:t>
      </w:r>
      <w:proofErr w:type="spellEnd"/>
      <w:r w:rsidRPr="002764D6">
        <w:rPr>
          <w:rFonts w:ascii="Calibri" w:hAnsi="Calibri" w:cs="Calibri"/>
          <w:iCs/>
          <w:color w:val="000000" w:themeColor="text1"/>
          <w:lang w:eastAsia="ja-JP"/>
        </w:rPr>
        <w:t xml:space="preserve"> i Arcede kommer endast att ske genom Memorandumet som kommer att offentliggöras av Bolaget omkring den 21 augusti 2023 på </w:t>
      </w:r>
      <w:proofErr w:type="spellStart"/>
      <w:r w:rsidRPr="002764D6">
        <w:rPr>
          <w:rFonts w:ascii="Calibri" w:hAnsi="Calibri" w:cs="Calibri"/>
          <w:iCs/>
          <w:color w:val="000000" w:themeColor="text1"/>
          <w:lang w:eastAsia="ja-JP"/>
        </w:rPr>
        <w:t>Arcedes</w:t>
      </w:r>
      <w:proofErr w:type="spellEnd"/>
      <w:r w:rsidRPr="002764D6">
        <w:rPr>
          <w:rFonts w:ascii="Calibri" w:hAnsi="Calibri" w:cs="Calibri"/>
          <w:iCs/>
          <w:color w:val="000000" w:themeColor="text1"/>
          <w:lang w:eastAsia="ja-JP"/>
        </w:rPr>
        <w:t xml:space="preserve"> hemsida, </w:t>
      </w:r>
      <w:hyperlink r:id="rId11" w:history="1">
        <w:r w:rsidRPr="002764D6">
          <w:rPr>
            <w:rStyle w:val="Hyperlnk"/>
            <w:rFonts w:ascii="Calibri" w:hAnsi="Calibri" w:cs="Calibri"/>
            <w:iCs/>
            <w:lang w:eastAsia="ja-JP"/>
          </w:rPr>
          <w:t>www.arcedepharma.com</w:t>
        </w:r>
      </w:hyperlink>
      <w:r w:rsidRPr="002764D6">
        <w:rPr>
          <w:rFonts w:ascii="Calibri" w:hAnsi="Calibri" w:cs="Calibri"/>
          <w:iCs/>
          <w:color w:val="000000" w:themeColor="text1"/>
          <w:lang w:eastAsia="ja-JP"/>
        </w:rPr>
        <w:t xml:space="preserve">. </w:t>
      </w:r>
      <w:r w:rsidR="008B4670" w:rsidRPr="002764D6">
        <w:rPr>
          <w:rFonts w:ascii="Calibri" w:hAnsi="Calibri" w:cs="Calibri"/>
          <w:iCs/>
          <w:color w:val="000000" w:themeColor="text1"/>
          <w:lang w:eastAsia="ja-JP"/>
        </w:rPr>
        <w:t>Memorandumet utgör inget prospekt i enlighet med vad som definieras i bestämmelserna i Europaparlamentets och rådets förordning (EU) 2017/1129 (”</w:t>
      </w:r>
      <w:r w:rsidR="008B4670" w:rsidRPr="002764D6">
        <w:rPr>
          <w:rFonts w:ascii="Calibri" w:hAnsi="Calibri" w:cs="Calibri"/>
          <w:b/>
          <w:bCs/>
          <w:iCs/>
          <w:color w:val="000000" w:themeColor="text1"/>
          <w:lang w:eastAsia="ja-JP"/>
        </w:rPr>
        <w:t>Prospektförordningen</w:t>
      </w:r>
      <w:r w:rsidR="008B4670" w:rsidRPr="002764D6">
        <w:rPr>
          <w:rFonts w:ascii="Calibri" w:hAnsi="Calibri" w:cs="Calibri"/>
          <w:iCs/>
          <w:color w:val="000000" w:themeColor="text1"/>
          <w:lang w:eastAsia="ja-JP"/>
        </w:rPr>
        <w:t xml:space="preserve">”) och har varken granskats, registrerats eller godkänts av Finansinspektionen. Erbjudandet i </w:t>
      </w:r>
      <w:r w:rsidR="002E2908" w:rsidRPr="002764D6">
        <w:rPr>
          <w:rFonts w:ascii="Calibri" w:hAnsi="Calibri" w:cs="Calibri"/>
          <w:iCs/>
          <w:color w:val="000000" w:themeColor="text1"/>
          <w:lang w:eastAsia="ja-JP"/>
        </w:rPr>
        <w:t>M</w:t>
      </w:r>
      <w:r w:rsidR="008B4670" w:rsidRPr="002764D6">
        <w:rPr>
          <w:rFonts w:ascii="Calibri" w:hAnsi="Calibri" w:cs="Calibri"/>
          <w:iCs/>
          <w:color w:val="000000" w:themeColor="text1"/>
          <w:lang w:eastAsia="ja-JP"/>
        </w:rPr>
        <w:t>emorandumet är undantaget prospektskyldighet i enlighet med artikel 3 (2) i Prospektförordningen och 2 kap. 1 § i lag (2019:414) med kompletterande bestämmelser till EU:s prospektförordning med anledning av att beloppet som erbjuds av Bolaget till allmänheten understiger 2,5 MEUR.</w:t>
      </w:r>
      <w:r w:rsidR="0049753B" w:rsidRPr="002764D6">
        <w:rPr>
          <w:rFonts w:ascii="Calibri" w:hAnsi="Calibri" w:cs="Calibri"/>
          <w:iCs/>
          <w:color w:val="000000" w:themeColor="text1"/>
          <w:lang w:eastAsia="ja-JP"/>
        </w:rPr>
        <w:t xml:space="preserve"> </w:t>
      </w:r>
      <w:r w:rsidRPr="002764D6">
        <w:rPr>
          <w:rFonts w:ascii="Calibri" w:hAnsi="Calibri" w:cs="Calibri"/>
          <w:iCs/>
          <w:color w:val="000000" w:themeColor="text1"/>
          <w:lang w:eastAsia="ja-JP"/>
        </w:rPr>
        <w:t xml:space="preserve">Detta pressmeddelande är inte ett prospekt enligt betydelsen i Prospektförordningen och </w:t>
      </w:r>
      <w:r w:rsidR="00860F33" w:rsidRPr="002764D6">
        <w:rPr>
          <w:rFonts w:ascii="Calibri" w:hAnsi="Calibri" w:cs="Calibri"/>
          <w:iCs/>
          <w:color w:val="000000" w:themeColor="text1"/>
          <w:lang w:eastAsia="ja-JP"/>
        </w:rPr>
        <w:t>därmed</w:t>
      </w:r>
      <w:r w:rsidRPr="002764D6">
        <w:rPr>
          <w:rFonts w:ascii="Calibri" w:hAnsi="Calibri" w:cs="Calibri"/>
          <w:iCs/>
          <w:color w:val="000000" w:themeColor="text1"/>
          <w:lang w:eastAsia="ja-JP"/>
        </w:rPr>
        <w:t xml:space="preserve"> </w:t>
      </w:r>
      <w:proofErr w:type="gramStart"/>
      <w:r w:rsidRPr="002764D6">
        <w:rPr>
          <w:rFonts w:ascii="Calibri" w:hAnsi="Calibri" w:cs="Calibri"/>
          <w:iCs/>
          <w:color w:val="000000" w:themeColor="text1"/>
          <w:lang w:eastAsia="ja-JP"/>
        </w:rPr>
        <w:t>varken identifierar eller</w:t>
      </w:r>
      <w:proofErr w:type="gramEnd"/>
      <w:r w:rsidRPr="002764D6">
        <w:rPr>
          <w:rFonts w:ascii="Calibri" w:hAnsi="Calibri" w:cs="Calibri"/>
          <w:iCs/>
          <w:color w:val="000000" w:themeColor="text1"/>
          <w:lang w:eastAsia="ja-JP"/>
        </w:rPr>
        <w:t xml:space="preserve"> utger </w:t>
      </w:r>
      <w:r w:rsidR="00860F33" w:rsidRPr="002764D6">
        <w:rPr>
          <w:rFonts w:ascii="Calibri" w:hAnsi="Calibri" w:cs="Calibri"/>
          <w:iCs/>
          <w:color w:val="000000" w:themeColor="text1"/>
          <w:lang w:eastAsia="ja-JP"/>
        </w:rPr>
        <w:t xml:space="preserve">det </w:t>
      </w:r>
      <w:r w:rsidRPr="002764D6">
        <w:rPr>
          <w:rFonts w:ascii="Calibri" w:hAnsi="Calibri" w:cs="Calibri"/>
          <w:iCs/>
          <w:color w:val="000000" w:themeColor="text1"/>
          <w:lang w:eastAsia="ja-JP"/>
        </w:rPr>
        <w:t>sig för att identifiera risker (direkta eller indirekta) som kan vara förbundna med en investering i aktier</w:t>
      </w:r>
      <w:r w:rsidR="00D92714">
        <w:rPr>
          <w:rFonts w:ascii="Calibri" w:hAnsi="Calibri" w:cs="Calibri"/>
          <w:iCs/>
          <w:color w:val="000000" w:themeColor="text1"/>
          <w:lang w:eastAsia="ja-JP"/>
        </w:rPr>
        <w:t>, teckningsoptioner,</w:t>
      </w:r>
      <w:r w:rsidRPr="002764D6">
        <w:rPr>
          <w:rFonts w:ascii="Calibri" w:hAnsi="Calibri" w:cs="Calibri"/>
          <w:iCs/>
          <w:color w:val="000000" w:themeColor="text1"/>
          <w:lang w:eastAsia="ja-JP"/>
        </w:rPr>
        <w:t xml:space="preserve"> eller andra värdepapper i </w:t>
      </w:r>
      <w:r w:rsidR="00C51DCA" w:rsidRPr="002764D6">
        <w:rPr>
          <w:rFonts w:ascii="Calibri" w:hAnsi="Calibri" w:cs="Calibri"/>
          <w:iCs/>
          <w:color w:val="000000" w:themeColor="text1"/>
          <w:lang w:eastAsia="ja-JP"/>
        </w:rPr>
        <w:t>Arcede</w:t>
      </w:r>
      <w:r w:rsidRPr="002764D6">
        <w:rPr>
          <w:rFonts w:ascii="Calibri" w:hAnsi="Calibri" w:cs="Calibri"/>
          <w:iCs/>
          <w:color w:val="000000" w:themeColor="text1"/>
          <w:lang w:eastAsia="ja-JP"/>
        </w:rPr>
        <w:t xml:space="preserve">. Eventuellt investeringsbeslut bör, för att en investerare fullt ut ska förstå de potentiella riskerna och fördelarna som är förknippade med beslutet att delta i Företrädesemissionen, enbart fattas baserat på informationen i </w:t>
      </w:r>
      <w:r w:rsidR="00DF45CE" w:rsidRPr="002764D6">
        <w:rPr>
          <w:rFonts w:ascii="Calibri" w:hAnsi="Calibri" w:cs="Calibri"/>
          <w:iCs/>
          <w:color w:val="000000" w:themeColor="text1"/>
          <w:lang w:eastAsia="ja-JP"/>
        </w:rPr>
        <w:t>Memorandumet</w:t>
      </w:r>
      <w:r w:rsidRPr="002764D6">
        <w:rPr>
          <w:rFonts w:ascii="Calibri" w:hAnsi="Calibri" w:cs="Calibri"/>
          <w:iCs/>
          <w:color w:val="000000" w:themeColor="text1"/>
          <w:lang w:eastAsia="ja-JP"/>
        </w:rPr>
        <w:t xml:space="preserve">. Därmed rekommenderas en investerare att läsa hela </w:t>
      </w:r>
      <w:r w:rsidR="00612416" w:rsidRPr="002764D6">
        <w:rPr>
          <w:rFonts w:ascii="Calibri" w:hAnsi="Calibri" w:cs="Calibri"/>
          <w:iCs/>
          <w:color w:val="000000" w:themeColor="text1"/>
          <w:lang w:eastAsia="ja-JP"/>
        </w:rPr>
        <w:t>Memorandumet</w:t>
      </w:r>
      <w:r w:rsidRPr="002764D6">
        <w:rPr>
          <w:rFonts w:ascii="Calibri" w:hAnsi="Calibri" w:cs="Calibri"/>
          <w:iCs/>
          <w:color w:val="000000" w:themeColor="text1"/>
          <w:lang w:eastAsia="ja-JP"/>
        </w:rPr>
        <w:t xml:space="preserve">. </w:t>
      </w:r>
    </w:p>
    <w:p w14:paraId="5EB2FCCE" w14:textId="751295A1" w:rsidR="006B1E43" w:rsidRPr="002764D6" w:rsidRDefault="006B1E43" w:rsidP="006B1E43">
      <w:pPr>
        <w:autoSpaceDE w:val="0"/>
        <w:autoSpaceDN w:val="0"/>
        <w:adjustRightInd w:val="0"/>
        <w:jc w:val="both"/>
        <w:rPr>
          <w:rFonts w:ascii="Calibri" w:hAnsi="Calibri" w:cs="Calibri"/>
          <w:iCs/>
          <w:color w:val="000000" w:themeColor="text1"/>
          <w:lang w:eastAsia="ja-JP"/>
        </w:rPr>
      </w:pPr>
      <w:r w:rsidRPr="002764D6">
        <w:rPr>
          <w:rFonts w:ascii="Calibri" w:hAnsi="Calibri" w:cs="Calibri"/>
          <w:iCs/>
          <w:color w:val="000000" w:themeColor="text1"/>
          <w:lang w:eastAsia="ja-JP"/>
        </w:rPr>
        <w:t>Informationen i detta pressmeddelande får inte offentliggöras, publiceras eller distribueras, direkt eller indirekt, inom eller till USA, Australien, Belarus, Hongkong, Japan, Kanada, Nya Zeeland, Ryssland, Schweiz, Singapore, Sydafrika, Sydkorea eller någon annan jurisdiktion där sådan åtgärd skulle vara olaglig, föremål för legala restriktioner eller kräva andra åtgärder än de som följer av svensk rätt. Åtgärder i strid med denna anvisning kan utgöra brott mot tillämplig värdepapperslagstiftning. Inga aktier</w:t>
      </w:r>
      <w:r w:rsidR="00D92714">
        <w:rPr>
          <w:rFonts w:ascii="Calibri" w:hAnsi="Calibri" w:cs="Calibri"/>
          <w:iCs/>
          <w:color w:val="000000" w:themeColor="text1"/>
          <w:lang w:eastAsia="ja-JP"/>
        </w:rPr>
        <w:t>, teckningsoptioner</w:t>
      </w:r>
      <w:r w:rsidRPr="002764D6">
        <w:rPr>
          <w:rFonts w:ascii="Calibri" w:hAnsi="Calibri" w:cs="Calibri"/>
          <w:iCs/>
          <w:color w:val="000000" w:themeColor="text1"/>
          <w:lang w:eastAsia="ja-JP"/>
        </w:rPr>
        <w:t xml:space="preserve"> eller andra värdepapper i </w:t>
      </w:r>
      <w:r w:rsidR="00711C90" w:rsidRPr="002764D6">
        <w:rPr>
          <w:rFonts w:ascii="Calibri" w:hAnsi="Calibri" w:cs="Calibri"/>
          <w:iCs/>
          <w:color w:val="000000" w:themeColor="text1"/>
          <w:lang w:eastAsia="ja-JP"/>
        </w:rPr>
        <w:t>Arcede</w:t>
      </w:r>
      <w:r w:rsidRPr="002764D6">
        <w:rPr>
          <w:rFonts w:ascii="Calibri" w:hAnsi="Calibri" w:cs="Calibri"/>
          <w:iCs/>
          <w:color w:val="000000" w:themeColor="text1"/>
          <w:lang w:eastAsia="ja-JP"/>
        </w:rPr>
        <w:t xml:space="preserve"> har registrerats, och inga aktier</w:t>
      </w:r>
      <w:r w:rsidR="00D92714">
        <w:rPr>
          <w:rFonts w:ascii="Calibri" w:hAnsi="Calibri" w:cs="Calibri"/>
          <w:iCs/>
          <w:color w:val="000000" w:themeColor="text1"/>
          <w:lang w:eastAsia="ja-JP"/>
        </w:rPr>
        <w:t>, teckningsoptioner</w:t>
      </w:r>
      <w:r w:rsidRPr="002764D6">
        <w:rPr>
          <w:rFonts w:ascii="Calibri" w:hAnsi="Calibri" w:cs="Calibri"/>
          <w:iCs/>
          <w:color w:val="000000" w:themeColor="text1"/>
          <w:lang w:eastAsia="ja-JP"/>
        </w:rPr>
        <w:t xml:space="preserve"> eller andra värdepapper kommer att registreras, enligt den vid var tid gällande United States </w:t>
      </w:r>
      <w:proofErr w:type="spellStart"/>
      <w:r w:rsidRPr="002764D6">
        <w:rPr>
          <w:rFonts w:ascii="Calibri" w:hAnsi="Calibri" w:cs="Calibri"/>
          <w:iCs/>
          <w:color w:val="000000" w:themeColor="text1"/>
          <w:lang w:eastAsia="ja-JP"/>
        </w:rPr>
        <w:t>Securities</w:t>
      </w:r>
      <w:proofErr w:type="spellEnd"/>
      <w:r w:rsidRPr="002764D6">
        <w:rPr>
          <w:rFonts w:ascii="Calibri" w:hAnsi="Calibri" w:cs="Calibri"/>
          <w:iCs/>
          <w:color w:val="000000" w:themeColor="text1"/>
          <w:lang w:eastAsia="ja-JP"/>
        </w:rPr>
        <w:t xml:space="preserve"> </w:t>
      </w:r>
      <w:proofErr w:type="spellStart"/>
      <w:r w:rsidRPr="002764D6">
        <w:rPr>
          <w:rFonts w:ascii="Calibri" w:hAnsi="Calibri" w:cs="Calibri"/>
          <w:iCs/>
          <w:color w:val="000000" w:themeColor="text1"/>
          <w:lang w:eastAsia="ja-JP"/>
        </w:rPr>
        <w:t>Act</w:t>
      </w:r>
      <w:proofErr w:type="spellEnd"/>
      <w:r w:rsidRPr="002764D6">
        <w:rPr>
          <w:rFonts w:ascii="Calibri" w:hAnsi="Calibri" w:cs="Calibri"/>
          <w:iCs/>
          <w:color w:val="000000" w:themeColor="text1"/>
          <w:lang w:eastAsia="ja-JP"/>
        </w:rPr>
        <w:t xml:space="preserve"> från 1933 (”</w:t>
      </w:r>
      <w:proofErr w:type="spellStart"/>
      <w:r w:rsidRPr="002764D6">
        <w:rPr>
          <w:rFonts w:ascii="Calibri" w:hAnsi="Calibri" w:cs="Calibri"/>
          <w:b/>
          <w:iCs/>
          <w:color w:val="000000" w:themeColor="text1"/>
          <w:lang w:eastAsia="ja-JP"/>
        </w:rPr>
        <w:t>Securities</w:t>
      </w:r>
      <w:proofErr w:type="spellEnd"/>
      <w:r w:rsidRPr="002764D6">
        <w:rPr>
          <w:rFonts w:ascii="Calibri" w:hAnsi="Calibri" w:cs="Calibri"/>
          <w:b/>
          <w:iCs/>
          <w:color w:val="000000" w:themeColor="text1"/>
          <w:lang w:eastAsia="ja-JP"/>
        </w:rPr>
        <w:t xml:space="preserve"> </w:t>
      </w:r>
      <w:proofErr w:type="spellStart"/>
      <w:r w:rsidRPr="002764D6">
        <w:rPr>
          <w:rFonts w:ascii="Calibri" w:hAnsi="Calibri" w:cs="Calibri"/>
          <w:b/>
          <w:iCs/>
          <w:color w:val="000000" w:themeColor="text1"/>
          <w:lang w:eastAsia="ja-JP"/>
        </w:rPr>
        <w:t>Act</w:t>
      </w:r>
      <w:proofErr w:type="spellEnd"/>
      <w:r w:rsidRPr="002764D6">
        <w:rPr>
          <w:rFonts w:ascii="Calibri" w:hAnsi="Calibri" w:cs="Calibri"/>
          <w:iCs/>
          <w:color w:val="000000" w:themeColor="text1"/>
          <w:lang w:eastAsia="ja-JP"/>
        </w:rPr>
        <w:t xml:space="preserve">”) eller värdepapperslagstiftningen i någon delstat eller annan jurisdiktion i USA och får inte erbjudas, säljas eller på annat sätt överföras, direkt eller indirekt, i eller till USA, förutom i enlighet med ett tillämpligt undantag från, eller i en transaktion som inte omfattas av, registreringskraven i </w:t>
      </w:r>
      <w:proofErr w:type="spellStart"/>
      <w:r w:rsidRPr="002764D6">
        <w:rPr>
          <w:rFonts w:ascii="Calibri" w:hAnsi="Calibri" w:cs="Calibri"/>
          <w:iCs/>
          <w:color w:val="000000" w:themeColor="text1"/>
          <w:lang w:eastAsia="ja-JP"/>
        </w:rPr>
        <w:t>Securities</w:t>
      </w:r>
      <w:proofErr w:type="spellEnd"/>
      <w:r w:rsidRPr="002764D6">
        <w:rPr>
          <w:rFonts w:ascii="Calibri" w:hAnsi="Calibri" w:cs="Calibri"/>
          <w:iCs/>
          <w:color w:val="000000" w:themeColor="text1"/>
          <w:lang w:eastAsia="ja-JP"/>
        </w:rPr>
        <w:t xml:space="preserve"> </w:t>
      </w:r>
      <w:proofErr w:type="spellStart"/>
      <w:r w:rsidRPr="002764D6">
        <w:rPr>
          <w:rFonts w:ascii="Calibri" w:hAnsi="Calibri" w:cs="Calibri"/>
          <w:iCs/>
          <w:color w:val="000000" w:themeColor="text1"/>
          <w:lang w:eastAsia="ja-JP"/>
        </w:rPr>
        <w:t>Act</w:t>
      </w:r>
      <w:proofErr w:type="spellEnd"/>
      <w:r w:rsidRPr="002764D6">
        <w:rPr>
          <w:rFonts w:ascii="Calibri" w:hAnsi="Calibri" w:cs="Calibri"/>
          <w:iCs/>
          <w:color w:val="000000" w:themeColor="text1"/>
          <w:lang w:eastAsia="ja-JP"/>
        </w:rPr>
        <w:t xml:space="preserve"> och i enlighet med värdepapperslagstiftningen i relevant delstat eller annan jurisdiktion i USA.</w:t>
      </w:r>
    </w:p>
    <w:p w14:paraId="7AF4E69E" w14:textId="4AD0F7E2" w:rsidR="006B1E43" w:rsidRPr="002764D6" w:rsidRDefault="006B1E43" w:rsidP="006B1E43">
      <w:pPr>
        <w:autoSpaceDE w:val="0"/>
        <w:autoSpaceDN w:val="0"/>
        <w:adjustRightInd w:val="0"/>
        <w:jc w:val="both"/>
        <w:rPr>
          <w:rFonts w:ascii="Calibri" w:hAnsi="Calibri" w:cs="Calibri"/>
          <w:iCs/>
          <w:color w:val="000000" w:themeColor="text1"/>
          <w:lang w:eastAsia="ja-JP"/>
        </w:rPr>
      </w:pPr>
      <w:r w:rsidRPr="002764D6">
        <w:rPr>
          <w:rFonts w:ascii="Calibri" w:hAnsi="Calibri" w:cs="Calibri"/>
          <w:iCs/>
          <w:color w:val="000000" w:themeColor="text1"/>
          <w:lang w:eastAsia="ja-JP"/>
        </w:rPr>
        <w:t xml:space="preserve">Inom det </w:t>
      </w:r>
      <w:proofErr w:type="gramStart"/>
      <w:r w:rsidR="00CD35E0" w:rsidRPr="002764D6">
        <w:rPr>
          <w:rFonts w:ascii="Calibri" w:hAnsi="Calibri" w:cs="Calibri"/>
          <w:iCs/>
          <w:color w:val="000000" w:themeColor="text1"/>
          <w:lang w:eastAsia="ja-JP"/>
        </w:rPr>
        <w:t>E</w:t>
      </w:r>
      <w:r w:rsidRPr="002764D6">
        <w:rPr>
          <w:rFonts w:ascii="Calibri" w:hAnsi="Calibri" w:cs="Calibri"/>
          <w:iCs/>
          <w:color w:val="000000" w:themeColor="text1"/>
          <w:lang w:eastAsia="ja-JP"/>
        </w:rPr>
        <w:t>uropeiska</w:t>
      </w:r>
      <w:proofErr w:type="gramEnd"/>
      <w:r w:rsidRPr="002764D6">
        <w:rPr>
          <w:rFonts w:ascii="Calibri" w:hAnsi="Calibri" w:cs="Calibri"/>
          <w:iCs/>
          <w:color w:val="000000" w:themeColor="text1"/>
          <w:lang w:eastAsia="ja-JP"/>
        </w:rPr>
        <w:t xml:space="preserve"> ekonomiska samarbetsområdet (”</w:t>
      </w:r>
      <w:r w:rsidRPr="002764D6">
        <w:rPr>
          <w:rFonts w:ascii="Calibri" w:hAnsi="Calibri" w:cs="Calibri"/>
          <w:b/>
          <w:iCs/>
          <w:color w:val="000000" w:themeColor="text1"/>
          <w:lang w:eastAsia="ja-JP"/>
        </w:rPr>
        <w:t>EES</w:t>
      </w:r>
      <w:r w:rsidRPr="002764D6">
        <w:rPr>
          <w:rFonts w:ascii="Calibri" w:hAnsi="Calibri" w:cs="Calibri"/>
          <w:iCs/>
          <w:color w:val="000000" w:themeColor="text1"/>
          <w:lang w:eastAsia="ja-JP"/>
        </w:rPr>
        <w:t>”) lämnas inget erbjudande av aktier</w:t>
      </w:r>
      <w:r w:rsidR="00D92714">
        <w:rPr>
          <w:rFonts w:ascii="Calibri" w:hAnsi="Calibri" w:cs="Calibri"/>
          <w:iCs/>
          <w:color w:val="000000" w:themeColor="text1"/>
          <w:lang w:eastAsia="ja-JP"/>
        </w:rPr>
        <w:t>, teckningsoptioner</w:t>
      </w:r>
      <w:r w:rsidRPr="002764D6">
        <w:rPr>
          <w:rFonts w:ascii="Calibri" w:hAnsi="Calibri" w:cs="Calibri"/>
          <w:iCs/>
          <w:color w:val="000000" w:themeColor="text1"/>
          <w:lang w:eastAsia="ja-JP"/>
        </w:rPr>
        <w:t xml:space="preserve"> eller andra värdepapper (”</w:t>
      </w:r>
      <w:r w:rsidRPr="002764D6">
        <w:rPr>
          <w:rFonts w:ascii="Calibri" w:hAnsi="Calibri" w:cs="Calibri"/>
          <w:b/>
          <w:iCs/>
          <w:color w:val="000000" w:themeColor="text1"/>
          <w:lang w:eastAsia="ja-JP"/>
        </w:rPr>
        <w:t>Värdepapper</w:t>
      </w:r>
      <w:r w:rsidRPr="002764D6">
        <w:rPr>
          <w:rFonts w:ascii="Calibri" w:hAnsi="Calibri" w:cs="Calibri"/>
          <w:iCs/>
          <w:color w:val="000000" w:themeColor="text1"/>
          <w:lang w:eastAsia="ja-JP"/>
        </w:rPr>
        <w:t xml:space="preserve">”) till allmänheten i något annat land än Sverige. I andra medlemsländer i den </w:t>
      </w:r>
      <w:proofErr w:type="gramStart"/>
      <w:r w:rsidRPr="002764D6">
        <w:rPr>
          <w:rFonts w:ascii="Calibri" w:hAnsi="Calibri" w:cs="Calibri"/>
          <w:iCs/>
          <w:color w:val="000000" w:themeColor="text1"/>
          <w:lang w:eastAsia="ja-JP"/>
        </w:rPr>
        <w:t>Europeiska Unionen</w:t>
      </w:r>
      <w:proofErr w:type="gramEnd"/>
      <w:r w:rsidRPr="002764D6">
        <w:rPr>
          <w:rFonts w:ascii="Calibri" w:hAnsi="Calibri" w:cs="Calibri"/>
          <w:iCs/>
          <w:color w:val="000000" w:themeColor="text1"/>
          <w:lang w:eastAsia="ja-JP"/>
        </w:rPr>
        <w:t xml:space="preserve"> (”</w:t>
      </w:r>
      <w:r w:rsidRPr="002764D6">
        <w:rPr>
          <w:rFonts w:ascii="Calibri" w:hAnsi="Calibri" w:cs="Calibri"/>
          <w:b/>
          <w:iCs/>
          <w:color w:val="000000" w:themeColor="text1"/>
          <w:lang w:eastAsia="ja-JP"/>
        </w:rPr>
        <w:t>EU</w:t>
      </w:r>
      <w:r w:rsidRPr="002764D6">
        <w:rPr>
          <w:rFonts w:ascii="Calibri" w:hAnsi="Calibri" w:cs="Calibri"/>
          <w:iCs/>
          <w:color w:val="000000" w:themeColor="text1"/>
          <w:lang w:eastAsia="ja-JP"/>
        </w:rPr>
        <w:t xml:space="preserve">”) kan ett sådant erbjudande av Värdepapper endast lämnas i enlighet med undantag i Prospektförordningen (EU) 2017/1129. I andra </w:t>
      </w:r>
      <w:r w:rsidRPr="002764D6">
        <w:rPr>
          <w:rFonts w:ascii="Calibri" w:hAnsi="Calibri" w:cs="Calibri"/>
          <w:iCs/>
          <w:color w:val="000000" w:themeColor="text1"/>
          <w:lang w:eastAsia="ja-JP"/>
        </w:rPr>
        <w:lastRenderedPageBreak/>
        <w:t>länder i EES som har implementerat Prospektförordningen i nationell lagstiftning kan ett sådant erbjudande av Värdepapper endast lämnas i enlighet med undantag i Prospektförordningen samt i enlighet med varje relevant implementeringsåtgärd. I övriga länder i EES som inte har implementerat Prospektförordningen i nationell lagstiftning kan ett sådant erbjudande av Värdepapper endast lämnas i enlighet med tillämpligt undantag i den nationella lagstiftningen.</w:t>
      </w:r>
    </w:p>
    <w:p w14:paraId="5BD68DB5" w14:textId="239031B5" w:rsidR="006B1E43" w:rsidRPr="002764D6" w:rsidRDefault="006B1E43" w:rsidP="006B1E43">
      <w:pPr>
        <w:autoSpaceDE w:val="0"/>
        <w:autoSpaceDN w:val="0"/>
        <w:adjustRightInd w:val="0"/>
        <w:jc w:val="both"/>
        <w:rPr>
          <w:rFonts w:ascii="Calibri" w:hAnsi="Calibri" w:cs="Calibri"/>
          <w:iCs/>
          <w:color w:val="000000" w:themeColor="text1"/>
          <w:lang w:eastAsia="ja-JP"/>
        </w:rPr>
      </w:pPr>
      <w:r w:rsidRPr="002764D6">
        <w:rPr>
          <w:rFonts w:ascii="Calibri" w:hAnsi="Calibri" w:cs="Calibri"/>
          <w:iCs/>
          <w:color w:val="000000" w:themeColor="text1"/>
          <w:lang w:eastAsia="ja-JP"/>
        </w:rPr>
        <w:t>I Storbritannien distribueras och riktas detta dokument, och annat material avseende värdepapperen som omnämns häri, endast till, och en investering eller investeringsaktivitet som är hänförlig till detta dokument är endast tillgänglig för och kommer endast att kunna utnyttjas av, ”</w:t>
      </w:r>
      <w:proofErr w:type="spellStart"/>
      <w:r w:rsidRPr="002764D6">
        <w:rPr>
          <w:rFonts w:ascii="Calibri" w:hAnsi="Calibri" w:cs="Calibri"/>
          <w:iCs/>
          <w:color w:val="000000" w:themeColor="text1"/>
          <w:lang w:eastAsia="ja-JP"/>
        </w:rPr>
        <w:t>qualified</w:t>
      </w:r>
      <w:proofErr w:type="spellEnd"/>
      <w:r w:rsidRPr="002764D6">
        <w:rPr>
          <w:rFonts w:ascii="Calibri" w:hAnsi="Calibri" w:cs="Calibri"/>
          <w:iCs/>
          <w:color w:val="000000" w:themeColor="text1"/>
          <w:lang w:eastAsia="ja-JP"/>
        </w:rPr>
        <w:t xml:space="preserve"> </w:t>
      </w:r>
      <w:proofErr w:type="spellStart"/>
      <w:r w:rsidRPr="002764D6">
        <w:rPr>
          <w:rFonts w:ascii="Calibri" w:hAnsi="Calibri" w:cs="Calibri"/>
          <w:iCs/>
          <w:color w:val="000000" w:themeColor="text1"/>
          <w:lang w:eastAsia="ja-JP"/>
        </w:rPr>
        <w:t>investors</w:t>
      </w:r>
      <w:proofErr w:type="spellEnd"/>
      <w:r w:rsidRPr="002764D6">
        <w:rPr>
          <w:rFonts w:ascii="Calibri" w:hAnsi="Calibri" w:cs="Calibri"/>
          <w:iCs/>
          <w:color w:val="000000" w:themeColor="text1"/>
          <w:lang w:eastAsia="ja-JP"/>
        </w:rPr>
        <w:t xml:space="preserve">” (i betydelsen i den brittiska versionen av förordning (EU) 2017/1129 som är en del av brittisk lagstiftning genom </w:t>
      </w:r>
      <w:proofErr w:type="spellStart"/>
      <w:r w:rsidRPr="002764D6">
        <w:rPr>
          <w:rFonts w:ascii="Calibri" w:hAnsi="Calibri" w:cs="Calibri"/>
          <w:iCs/>
          <w:color w:val="000000" w:themeColor="text1"/>
          <w:lang w:eastAsia="ja-JP"/>
        </w:rPr>
        <w:t>European</w:t>
      </w:r>
      <w:proofErr w:type="spellEnd"/>
      <w:r w:rsidRPr="002764D6">
        <w:rPr>
          <w:rFonts w:ascii="Calibri" w:hAnsi="Calibri" w:cs="Calibri"/>
          <w:iCs/>
          <w:color w:val="000000" w:themeColor="text1"/>
          <w:lang w:eastAsia="ja-JP"/>
        </w:rPr>
        <w:t xml:space="preserve"> Union (</w:t>
      </w:r>
      <w:proofErr w:type="spellStart"/>
      <w:r w:rsidRPr="002764D6">
        <w:rPr>
          <w:rFonts w:ascii="Calibri" w:hAnsi="Calibri" w:cs="Calibri"/>
          <w:iCs/>
          <w:color w:val="000000" w:themeColor="text1"/>
          <w:lang w:eastAsia="ja-JP"/>
        </w:rPr>
        <w:t>Withdrawal</w:t>
      </w:r>
      <w:proofErr w:type="spellEnd"/>
      <w:r w:rsidRPr="002764D6">
        <w:rPr>
          <w:rFonts w:ascii="Calibri" w:hAnsi="Calibri" w:cs="Calibri"/>
          <w:iCs/>
          <w:color w:val="000000" w:themeColor="text1"/>
          <w:lang w:eastAsia="ja-JP"/>
        </w:rPr>
        <w:t xml:space="preserve">) </w:t>
      </w:r>
      <w:proofErr w:type="spellStart"/>
      <w:r w:rsidRPr="002764D6">
        <w:rPr>
          <w:rFonts w:ascii="Calibri" w:hAnsi="Calibri" w:cs="Calibri"/>
          <w:iCs/>
          <w:color w:val="000000" w:themeColor="text1"/>
          <w:lang w:eastAsia="ja-JP"/>
        </w:rPr>
        <w:t>Act</w:t>
      </w:r>
      <w:proofErr w:type="spellEnd"/>
      <w:r w:rsidRPr="002764D6">
        <w:rPr>
          <w:rFonts w:ascii="Calibri" w:hAnsi="Calibri" w:cs="Calibri"/>
          <w:iCs/>
          <w:color w:val="000000" w:themeColor="text1"/>
          <w:lang w:eastAsia="ja-JP"/>
        </w:rPr>
        <w:t xml:space="preserve"> 2018) som är (i) personer som har professionell erfarenhet av affärer som rör investeringar och som faller inom definitionen av ”investment </w:t>
      </w:r>
      <w:proofErr w:type="spellStart"/>
      <w:r w:rsidRPr="002764D6">
        <w:rPr>
          <w:rFonts w:ascii="Calibri" w:hAnsi="Calibri" w:cs="Calibri"/>
          <w:iCs/>
          <w:color w:val="000000" w:themeColor="text1"/>
          <w:lang w:eastAsia="ja-JP"/>
        </w:rPr>
        <w:t>professionals</w:t>
      </w:r>
      <w:proofErr w:type="spellEnd"/>
      <w:r w:rsidRPr="002764D6">
        <w:rPr>
          <w:rFonts w:ascii="Calibri" w:hAnsi="Calibri" w:cs="Calibri"/>
          <w:iCs/>
          <w:color w:val="000000" w:themeColor="text1"/>
          <w:lang w:eastAsia="ja-JP"/>
        </w:rPr>
        <w:t>” i artikel 19</w:t>
      </w:r>
      <w:bookmarkStart w:id="1" w:name="_9kP4WSt2CC457D"/>
      <w:r w:rsidRPr="002764D6">
        <w:rPr>
          <w:rFonts w:ascii="Calibri" w:hAnsi="Calibri" w:cs="Calibri"/>
          <w:iCs/>
          <w:color w:val="000000" w:themeColor="text1"/>
          <w:lang w:eastAsia="ja-JP"/>
        </w:rPr>
        <w:t>(5)</w:t>
      </w:r>
      <w:bookmarkEnd w:id="1"/>
      <w:r w:rsidRPr="002764D6">
        <w:rPr>
          <w:rFonts w:ascii="Calibri" w:hAnsi="Calibri" w:cs="Calibri"/>
          <w:iCs/>
          <w:color w:val="000000" w:themeColor="text1"/>
          <w:lang w:eastAsia="ja-JP"/>
        </w:rPr>
        <w:t xml:space="preserve"> i den brittiska </w:t>
      </w:r>
      <w:proofErr w:type="spellStart"/>
      <w:r w:rsidRPr="002764D6">
        <w:rPr>
          <w:rFonts w:ascii="Calibri" w:hAnsi="Calibri" w:cs="Calibri"/>
          <w:iCs/>
          <w:color w:val="000000" w:themeColor="text1"/>
          <w:lang w:eastAsia="ja-JP"/>
        </w:rPr>
        <w:t>Financial</w:t>
      </w:r>
      <w:proofErr w:type="spellEnd"/>
      <w:r w:rsidRPr="002764D6">
        <w:rPr>
          <w:rFonts w:ascii="Calibri" w:hAnsi="Calibri" w:cs="Calibri"/>
          <w:iCs/>
          <w:color w:val="000000" w:themeColor="text1"/>
          <w:lang w:eastAsia="ja-JP"/>
        </w:rPr>
        <w:t xml:space="preserve"> Services and Markets </w:t>
      </w:r>
      <w:proofErr w:type="spellStart"/>
      <w:r w:rsidRPr="002764D6">
        <w:rPr>
          <w:rFonts w:ascii="Calibri" w:hAnsi="Calibri" w:cs="Calibri"/>
          <w:iCs/>
          <w:color w:val="000000" w:themeColor="text1"/>
          <w:lang w:eastAsia="ja-JP"/>
        </w:rPr>
        <w:t>Act</w:t>
      </w:r>
      <w:proofErr w:type="spellEnd"/>
      <w:r w:rsidRPr="002764D6">
        <w:rPr>
          <w:rFonts w:ascii="Calibri" w:hAnsi="Calibri" w:cs="Calibri"/>
          <w:iCs/>
          <w:color w:val="000000" w:themeColor="text1"/>
          <w:lang w:eastAsia="ja-JP"/>
        </w:rPr>
        <w:t xml:space="preserve"> 2000 (</w:t>
      </w:r>
      <w:proofErr w:type="spellStart"/>
      <w:r w:rsidRPr="002764D6">
        <w:rPr>
          <w:rFonts w:ascii="Calibri" w:hAnsi="Calibri" w:cs="Calibri"/>
          <w:iCs/>
          <w:color w:val="000000" w:themeColor="text1"/>
          <w:lang w:eastAsia="ja-JP"/>
        </w:rPr>
        <w:t>Financial</w:t>
      </w:r>
      <w:proofErr w:type="spellEnd"/>
      <w:r w:rsidRPr="002764D6">
        <w:rPr>
          <w:rFonts w:ascii="Calibri" w:hAnsi="Calibri" w:cs="Calibri"/>
          <w:iCs/>
          <w:color w:val="000000" w:themeColor="text1"/>
          <w:lang w:eastAsia="ja-JP"/>
        </w:rPr>
        <w:t xml:space="preserve"> Promotion) Order 2005 (”</w:t>
      </w:r>
      <w:r w:rsidRPr="002764D6">
        <w:rPr>
          <w:rFonts w:ascii="Calibri" w:hAnsi="Calibri" w:cs="Calibri"/>
          <w:b/>
          <w:iCs/>
          <w:color w:val="000000" w:themeColor="text1"/>
          <w:lang w:eastAsia="ja-JP"/>
        </w:rPr>
        <w:t>Föreskriften</w:t>
      </w:r>
      <w:r w:rsidRPr="002764D6">
        <w:rPr>
          <w:rFonts w:ascii="Calibri" w:hAnsi="Calibri" w:cs="Calibri"/>
          <w:iCs/>
          <w:color w:val="000000" w:themeColor="text1"/>
          <w:lang w:eastAsia="ja-JP"/>
        </w:rPr>
        <w:t>”); (ii) ”</w:t>
      </w:r>
      <w:proofErr w:type="spellStart"/>
      <w:r w:rsidRPr="002764D6">
        <w:rPr>
          <w:rFonts w:ascii="Calibri" w:hAnsi="Calibri" w:cs="Calibri"/>
          <w:iCs/>
          <w:color w:val="000000" w:themeColor="text1"/>
          <w:lang w:eastAsia="ja-JP"/>
        </w:rPr>
        <w:t>high</w:t>
      </w:r>
      <w:proofErr w:type="spellEnd"/>
      <w:r w:rsidRPr="002764D6">
        <w:rPr>
          <w:rFonts w:ascii="Calibri" w:hAnsi="Calibri" w:cs="Calibri"/>
          <w:iCs/>
          <w:color w:val="000000" w:themeColor="text1"/>
          <w:lang w:eastAsia="ja-JP"/>
        </w:rPr>
        <w:t xml:space="preserve"> </w:t>
      </w:r>
      <w:proofErr w:type="spellStart"/>
      <w:r w:rsidRPr="002764D6">
        <w:rPr>
          <w:rFonts w:ascii="Calibri" w:hAnsi="Calibri" w:cs="Calibri"/>
          <w:iCs/>
          <w:color w:val="000000" w:themeColor="text1"/>
          <w:lang w:eastAsia="ja-JP"/>
        </w:rPr>
        <w:t>net</w:t>
      </w:r>
      <w:proofErr w:type="spellEnd"/>
      <w:r w:rsidRPr="002764D6">
        <w:rPr>
          <w:rFonts w:ascii="Calibri" w:hAnsi="Calibri" w:cs="Calibri"/>
          <w:iCs/>
          <w:color w:val="000000" w:themeColor="text1"/>
          <w:lang w:eastAsia="ja-JP"/>
        </w:rPr>
        <w:t xml:space="preserve"> </w:t>
      </w:r>
      <w:proofErr w:type="spellStart"/>
      <w:r w:rsidRPr="002764D6">
        <w:rPr>
          <w:rFonts w:ascii="Calibri" w:hAnsi="Calibri" w:cs="Calibri"/>
          <w:iCs/>
          <w:color w:val="000000" w:themeColor="text1"/>
          <w:lang w:eastAsia="ja-JP"/>
        </w:rPr>
        <w:t>worth</w:t>
      </w:r>
      <w:proofErr w:type="spellEnd"/>
      <w:r w:rsidRPr="002764D6">
        <w:rPr>
          <w:rFonts w:ascii="Calibri" w:hAnsi="Calibri" w:cs="Calibri"/>
          <w:iCs/>
          <w:color w:val="000000" w:themeColor="text1"/>
          <w:lang w:eastAsia="ja-JP"/>
        </w:rPr>
        <w:t xml:space="preserve"> </w:t>
      </w:r>
      <w:proofErr w:type="spellStart"/>
      <w:r w:rsidRPr="002764D6">
        <w:rPr>
          <w:rFonts w:ascii="Calibri" w:hAnsi="Calibri" w:cs="Calibri"/>
          <w:iCs/>
          <w:color w:val="000000" w:themeColor="text1"/>
          <w:lang w:eastAsia="ja-JP"/>
        </w:rPr>
        <w:t>entities</w:t>
      </w:r>
      <w:proofErr w:type="spellEnd"/>
      <w:r w:rsidRPr="002764D6">
        <w:rPr>
          <w:rFonts w:ascii="Calibri" w:hAnsi="Calibri" w:cs="Calibri"/>
          <w:iCs/>
          <w:color w:val="000000" w:themeColor="text1"/>
          <w:lang w:eastAsia="ja-JP"/>
        </w:rPr>
        <w:t>” etc. som avses i artikel 49(2)(a)-(d) i Föreskriften; eller (iii) sådana andra personer som sådan investering eller investeringsaktivitet lagligen kan riktas till enligt Föreskriften (alla sådana personer benämns gemensamt ”relevanta personer”). En investering eller en investeringsåtgärd som detta meddelande avser är i Storbritannien enbart tillgänglig för relevanta personer och kommer endast att genomföras med relevanta personer. Personer som inte är relevanta personer ska inte vidta några åtgärder baserat på detta dokument och inte heller agera eller förlita sig på det.</w:t>
      </w:r>
    </w:p>
    <w:p w14:paraId="2D339F58" w14:textId="32E3BE6B" w:rsidR="00D612AE" w:rsidRPr="002764D6" w:rsidRDefault="006B1E43" w:rsidP="00794A23">
      <w:pPr>
        <w:autoSpaceDE w:val="0"/>
        <w:autoSpaceDN w:val="0"/>
        <w:adjustRightInd w:val="0"/>
        <w:jc w:val="both"/>
        <w:rPr>
          <w:rFonts w:ascii="Calibri" w:hAnsi="Calibri" w:cs="Calibri"/>
          <w:b/>
          <w:bCs/>
          <w:color w:val="000000"/>
          <w:lang w:eastAsia="ja-JP"/>
        </w:rPr>
      </w:pPr>
      <w:r w:rsidRPr="002764D6">
        <w:rPr>
          <w:rFonts w:ascii="Calibri" w:hAnsi="Calibri" w:cs="Calibri"/>
          <w:iCs/>
          <w:color w:val="000000" w:themeColor="text1"/>
          <w:lang w:eastAsia="ja-JP"/>
        </w:rPr>
        <w:t>Detta pressmeddelande kan innehålla viss framåtriktad information som återspeglar Bolagets aktuella syn på framtida händelser samt finansiell och operativ utveckling. Ord som ”</w:t>
      </w:r>
      <w:r w:rsidRPr="002764D6">
        <w:rPr>
          <w:rFonts w:ascii="Calibri" w:hAnsi="Calibri" w:cs="Calibri"/>
          <w:i/>
          <w:iCs/>
          <w:color w:val="000000" w:themeColor="text1"/>
          <w:lang w:eastAsia="ja-JP"/>
        </w:rPr>
        <w:t>avser</w:t>
      </w:r>
      <w:r w:rsidRPr="002764D6">
        <w:rPr>
          <w:rFonts w:ascii="Calibri" w:hAnsi="Calibri" w:cs="Calibri"/>
          <w:iCs/>
          <w:color w:val="000000" w:themeColor="text1"/>
          <w:lang w:eastAsia="ja-JP"/>
        </w:rPr>
        <w:t>”, ”</w:t>
      </w:r>
      <w:r w:rsidRPr="002764D6">
        <w:rPr>
          <w:rFonts w:ascii="Calibri" w:hAnsi="Calibri" w:cs="Calibri"/>
          <w:i/>
          <w:iCs/>
          <w:color w:val="000000" w:themeColor="text1"/>
          <w:lang w:eastAsia="ja-JP"/>
        </w:rPr>
        <w:t>bedömer</w:t>
      </w:r>
      <w:r w:rsidRPr="002764D6">
        <w:rPr>
          <w:rFonts w:ascii="Calibri" w:hAnsi="Calibri" w:cs="Calibri"/>
          <w:iCs/>
          <w:color w:val="000000" w:themeColor="text1"/>
          <w:lang w:eastAsia="ja-JP"/>
        </w:rPr>
        <w:t>”, ”</w:t>
      </w:r>
      <w:r w:rsidRPr="002764D6">
        <w:rPr>
          <w:rFonts w:ascii="Calibri" w:hAnsi="Calibri" w:cs="Calibri"/>
          <w:i/>
          <w:iCs/>
          <w:color w:val="000000" w:themeColor="text1"/>
          <w:lang w:eastAsia="ja-JP"/>
        </w:rPr>
        <w:t>förväntar</w:t>
      </w:r>
      <w:r w:rsidRPr="002764D6">
        <w:rPr>
          <w:rFonts w:ascii="Calibri" w:hAnsi="Calibri" w:cs="Calibri"/>
          <w:iCs/>
          <w:color w:val="000000" w:themeColor="text1"/>
          <w:lang w:eastAsia="ja-JP"/>
        </w:rPr>
        <w:t>”, ”</w:t>
      </w:r>
      <w:r w:rsidRPr="002764D6">
        <w:rPr>
          <w:rFonts w:ascii="Calibri" w:hAnsi="Calibri" w:cs="Calibri"/>
          <w:i/>
          <w:iCs/>
          <w:color w:val="000000" w:themeColor="text1"/>
          <w:lang w:eastAsia="ja-JP"/>
        </w:rPr>
        <w:t>kan</w:t>
      </w:r>
      <w:r w:rsidRPr="002764D6">
        <w:rPr>
          <w:rFonts w:ascii="Calibri" w:hAnsi="Calibri" w:cs="Calibri"/>
          <w:iCs/>
          <w:color w:val="000000" w:themeColor="text1"/>
          <w:lang w:eastAsia="ja-JP"/>
        </w:rPr>
        <w:t>”, ”</w:t>
      </w:r>
      <w:r w:rsidRPr="002764D6">
        <w:rPr>
          <w:rFonts w:ascii="Calibri" w:hAnsi="Calibri" w:cs="Calibri"/>
          <w:i/>
          <w:iCs/>
          <w:color w:val="000000" w:themeColor="text1"/>
          <w:lang w:eastAsia="ja-JP"/>
        </w:rPr>
        <w:t>planerar</w:t>
      </w:r>
      <w:r w:rsidRPr="002764D6">
        <w:rPr>
          <w:rFonts w:ascii="Calibri" w:hAnsi="Calibri" w:cs="Calibri"/>
          <w:iCs/>
          <w:color w:val="000000" w:themeColor="text1"/>
          <w:lang w:eastAsia="ja-JP"/>
        </w:rPr>
        <w:t>”, ”</w:t>
      </w:r>
      <w:r w:rsidRPr="002764D6">
        <w:rPr>
          <w:rFonts w:ascii="Calibri" w:hAnsi="Calibri" w:cs="Calibri"/>
          <w:i/>
          <w:iCs/>
          <w:color w:val="000000" w:themeColor="text1"/>
          <w:lang w:eastAsia="ja-JP"/>
        </w:rPr>
        <w:t>anser</w:t>
      </w:r>
      <w:r w:rsidRPr="002764D6">
        <w:rPr>
          <w:rFonts w:ascii="Calibri" w:hAnsi="Calibri" w:cs="Calibri"/>
          <w:iCs/>
          <w:color w:val="000000" w:themeColor="text1"/>
          <w:lang w:eastAsia="ja-JP"/>
        </w:rPr>
        <w:t>”, ”</w:t>
      </w:r>
      <w:r w:rsidRPr="002764D6">
        <w:rPr>
          <w:rFonts w:ascii="Calibri" w:hAnsi="Calibri" w:cs="Calibri"/>
          <w:i/>
          <w:iCs/>
          <w:color w:val="000000" w:themeColor="text1"/>
          <w:lang w:eastAsia="ja-JP"/>
        </w:rPr>
        <w:t>uppskattar</w:t>
      </w:r>
      <w:r w:rsidRPr="002764D6">
        <w:rPr>
          <w:rFonts w:ascii="Calibri" w:hAnsi="Calibri" w:cs="Calibri"/>
          <w:iCs/>
          <w:color w:val="000000" w:themeColor="text1"/>
          <w:lang w:eastAsia="ja-JP"/>
        </w:rPr>
        <w:t>” och andra uttryck som innebär indikationer eller förutsägelser avseende framtida utveckling eller trender, och som inte är grundade på historiska fakta, utgör framåtriktad information. Framåtriktad information är till sin natur förenad med såväl kända som okända risker och osäkerhetsfaktorer eftersom den är avhängig framtida händelser och omständigheter. Framåtriktad information utgör inte någon garanti avseende framtida resultat eller utveckling och verkligt utfall kan komma att väsentligen skilja sig från vad som uttalas i framåtriktad information</w:t>
      </w:r>
      <w:r w:rsidRPr="002764D6">
        <w:rPr>
          <w:rFonts w:ascii="Calibri" w:hAnsi="Calibri" w:cs="Calibri"/>
          <w:color w:val="000000" w:themeColor="text1"/>
          <w:lang w:eastAsia="ja-JP"/>
        </w:rPr>
        <w:t>.</w:t>
      </w:r>
    </w:p>
    <w:sectPr w:rsidR="00D612AE" w:rsidRPr="002764D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F0077" w14:textId="77777777" w:rsidR="00013B95" w:rsidRDefault="00013B95">
      <w:pPr>
        <w:spacing w:after="0" w:line="240" w:lineRule="auto"/>
      </w:pPr>
      <w:r>
        <w:separator/>
      </w:r>
    </w:p>
  </w:endnote>
  <w:endnote w:type="continuationSeparator" w:id="0">
    <w:p w14:paraId="356F5CF7" w14:textId="77777777" w:rsidR="00013B95" w:rsidRDefault="00013B95">
      <w:pPr>
        <w:spacing w:after="0" w:line="240" w:lineRule="auto"/>
      </w:pPr>
      <w:r>
        <w:continuationSeparator/>
      </w:r>
    </w:p>
  </w:endnote>
  <w:endnote w:type="continuationNotice" w:id="1">
    <w:p w14:paraId="2E2D8878" w14:textId="77777777" w:rsidR="00013B95" w:rsidRDefault="00013B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7418" w14:textId="77777777" w:rsidR="00907905" w:rsidRDefault="0090790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A185" w14:textId="77777777" w:rsidR="00907905" w:rsidRDefault="0090790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175B8" w14:textId="77777777" w:rsidR="00907905" w:rsidRDefault="009079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BB5E3" w14:textId="77777777" w:rsidR="00013B95" w:rsidRDefault="00013B95">
      <w:pPr>
        <w:spacing w:after="0" w:line="240" w:lineRule="auto"/>
      </w:pPr>
      <w:r>
        <w:separator/>
      </w:r>
    </w:p>
  </w:footnote>
  <w:footnote w:type="continuationSeparator" w:id="0">
    <w:p w14:paraId="46A6C4B2" w14:textId="77777777" w:rsidR="00013B95" w:rsidRDefault="00013B95">
      <w:pPr>
        <w:spacing w:after="0" w:line="240" w:lineRule="auto"/>
      </w:pPr>
      <w:r>
        <w:continuationSeparator/>
      </w:r>
    </w:p>
  </w:footnote>
  <w:footnote w:type="continuationNotice" w:id="1">
    <w:p w14:paraId="2C3FBECD" w14:textId="77777777" w:rsidR="00013B95" w:rsidRDefault="00013B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E96B" w14:textId="77777777" w:rsidR="00907905" w:rsidRDefault="0090790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D7495" w14:textId="77777777" w:rsidR="00907905" w:rsidRDefault="0090790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49D1" w14:textId="77777777" w:rsidR="00907905" w:rsidRDefault="0090790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13199"/>
    <w:multiLevelType w:val="hybridMultilevel"/>
    <w:tmpl w:val="E9FE6F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4493F8F"/>
    <w:multiLevelType w:val="hybridMultilevel"/>
    <w:tmpl w:val="37F64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584473C"/>
    <w:multiLevelType w:val="hybridMultilevel"/>
    <w:tmpl w:val="2D160D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08257848">
    <w:abstractNumId w:val="2"/>
  </w:num>
  <w:num w:numId="2" w16cid:durableId="1299607629">
    <w:abstractNumId w:val="1"/>
  </w:num>
  <w:num w:numId="3" w16cid:durableId="1071854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E43"/>
    <w:rsid w:val="000113A1"/>
    <w:rsid w:val="00013B95"/>
    <w:rsid w:val="00013EF4"/>
    <w:rsid w:val="00015E44"/>
    <w:rsid w:val="00021265"/>
    <w:rsid w:val="0002381C"/>
    <w:rsid w:val="000251E7"/>
    <w:rsid w:val="0003439F"/>
    <w:rsid w:val="00034858"/>
    <w:rsid w:val="00036308"/>
    <w:rsid w:val="00042FA9"/>
    <w:rsid w:val="0004678D"/>
    <w:rsid w:val="00047480"/>
    <w:rsid w:val="00051042"/>
    <w:rsid w:val="000616A6"/>
    <w:rsid w:val="00071C73"/>
    <w:rsid w:val="00083285"/>
    <w:rsid w:val="00085815"/>
    <w:rsid w:val="0009312D"/>
    <w:rsid w:val="000976AC"/>
    <w:rsid w:val="000A2879"/>
    <w:rsid w:val="000A744F"/>
    <w:rsid w:val="000B1247"/>
    <w:rsid w:val="000B55D3"/>
    <w:rsid w:val="000C4585"/>
    <w:rsid w:val="000D7CF7"/>
    <w:rsid w:val="000E596D"/>
    <w:rsid w:val="000E703E"/>
    <w:rsid w:val="000F6A43"/>
    <w:rsid w:val="001008C4"/>
    <w:rsid w:val="00112A26"/>
    <w:rsid w:val="0012274C"/>
    <w:rsid w:val="00124671"/>
    <w:rsid w:val="001348C9"/>
    <w:rsid w:val="00141DEA"/>
    <w:rsid w:val="00147820"/>
    <w:rsid w:val="001479AE"/>
    <w:rsid w:val="00153AF3"/>
    <w:rsid w:val="00154F52"/>
    <w:rsid w:val="001570A5"/>
    <w:rsid w:val="001653FC"/>
    <w:rsid w:val="00172655"/>
    <w:rsid w:val="001727F4"/>
    <w:rsid w:val="00172B43"/>
    <w:rsid w:val="00172D82"/>
    <w:rsid w:val="00184D13"/>
    <w:rsid w:val="00191295"/>
    <w:rsid w:val="001918E8"/>
    <w:rsid w:val="00191ACD"/>
    <w:rsid w:val="0019342C"/>
    <w:rsid w:val="00194A38"/>
    <w:rsid w:val="00195512"/>
    <w:rsid w:val="001A18A0"/>
    <w:rsid w:val="001A2A64"/>
    <w:rsid w:val="001A2DA5"/>
    <w:rsid w:val="001A432E"/>
    <w:rsid w:val="001B04C5"/>
    <w:rsid w:val="001B3A92"/>
    <w:rsid w:val="001D09D5"/>
    <w:rsid w:val="001D1458"/>
    <w:rsid w:val="001D1AA8"/>
    <w:rsid w:val="001E124C"/>
    <w:rsid w:val="001E58A2"/>
    <w:rsid w:val="001F0141"/>
    <w:rsid w:val="001F51E4"/>
    <w:rsid w:val="00201CFC"/>
    <w:rsid w:val="00207DE0"/>
    <w:rsid w:val="002236F2"/>
    <w:rsid w:val="00223745"/>
    <w:rsid w:val="0022396D"/>
    <w:rsid w:val="00232302"/>
    <w:rsid w:val="0023663D"/>
    <w:rsid w:val="00237BB0"/>
    <w:rsid w:val="00237C18"/>
    <w:rsid w:val="002501F3"/>
    <w:rsid w:val="00253D2A"/>
    <w:rsid w:val="0025451B"/>
    <w:rsid w:val="00256BB5"/>
    <w:rsid w:val="002617B2"/>
    <w:rsid w:val="00262A26"/>
    <w:rsid w:val="00267852"/>
    <w:rsid w:val="00270DD3"/>
    <w:rsid w:val="00275DA2"/>
    <w:rsid w:val="002764D6"/>
    <w:rsid w:val="0027757C"/>
    <w:rsid w:val="00297CAD"/>
    <w:rsid w:val="00297D28"/>
    <w:rsid w:val="002A17CC"/>
    <w:rsid w:val="002A2177"/>
    <w:rsid w:val="002A5EE6"/>
    <w:rsid w:val="002B5882"/>
    <w:rsid w:val="002D2C31"/>
    <w:rsid w:val="002D366E"/>
    <w:rsid w:val="002D3B3A"/>
    <w:rsid w:val="002D512E"/>
    <w:rsid w:val="002D55C1"/>
    <w:rsid w:val="002D7CAA"/>
    <w:rsid w:val="002E035C"/>
    <w:rsid w:val="002E2908"/>
    <w:rsid w:val="002F0137"/>
    <w:rsid w:val="002F28FB"/>
    <w:rsid w:val="002F3ECD"/>
    <w:rsid w:val="002F593F"/>
    <w:rsid w:val="002F7F6B"/>
    <w:rsid w:val="00304330"/>
    <w:rsid w:val="00312C64"/>
    <w:rsid w:val="00321C37"/>
    <w:rsid w:val="00323A10"/>
    <w:rsid w:val="00323DBC"/>
    <w:rsid w:val="00325DBB"/>
    <w:rsid w:val="00326AD7"/>
    <w:rsid w:val="003442E9"/>
    <w:rsid w:val="00344847"/>
    <w:rsid w:val="00345E81"/>
    <w:rsid w:val="00352853"/>
    <w:rsid w:val="00352CEB"/>
    <w:rsid w:val="0035446A"/>
    <w:rsid w:val="00356409"/>
    <w:rsid w:val="00361748"/>
    <w:rsid w:val="00365081"/>
    <w:rsid w:val="003770E1"/>
    <w:rsid w:val="00377134"/>
    <w:rsid w:val="0037769A"/>
    <w:rsid w:val="0038007F"/>
    <w:rsid w:val="003820D6"/>
    <w:rsid w:val="00384D17"/>
    <w:rsid w:val="0039659A"/>
    <w:rsid w:val="00396911"/>
    <w:rsid w:val="003B3D2F"/>
    <w:rsid w:val="003B4E73"/>
    <w:rsid w:val="003B74B9"/>
    <w:rsid w:val="003C5578"/>
    <w:rsid w:val="003C76CE"/>
    <w:rsid w:val="003D672B"/>
    <w:rsid w:val="003E5DEB"/>
    <w:rsid w:val="003F301C"/>
    <w:rsid w:val="003F3313"/>
    <w:rsid w:val="003F4192"/>
    <w:rsid w:val="003F6F75"/>
    <w:rsid w:val="00400629"/>
    <w:rsid w:val="004118DD"/>
    <w:rsid w:val="0041512D"/>
    <w:rsid w:val="00416CCD"/>
    <w:rsid w:val="00416DAB"/>
    <w:rsid w:val="00421926"/>
    <w:rsid w:val="00424178"/>
    <w:rsid w:val="0042771C"/>
    <w:rsid w:val="00440F26"/>
    <w:rsid w:val="00452633"/>
    <w:rsid w:val="00455CA3"/>
    <w:rsid w:val="00465540"/>
    <w:rsid w:val="004750E6"/>
    <w:rsid w:val="004769BA"/>
    <w:rsid w:val="00477029"/>
    <w:rsid w:val="004866D6"/>
    <w:rsid w:val="004878C3"/>
    <w:rsid w:val="00496829"/>
    <w:rsid w:val="0049753B"/>
    <w:rsid w:val="004A21FA"/>
    <w:rsid w:val="004B2AAA"/>
    <w:rsid w:val="004B2D05"/>
    <w:rsid w:val="004B56EB"/>
    <w:rsid w:val="004B5BBC"/>
    <w:rsid w:val="004D4160"/>
    <w:rsid w:val="004D504B"/>
    <w:rsid w:val="004D578D"/>
    <w:rsid w:val="004E0881"/>
    <w:rsid w:val="004E467F"/>
    <w:rsid w:val="004E5B76"/>
    <w:rsid w:val="004E5CFD"/>
    <w:rsid w:val="004F0738"/>
    <w:rsid w:val="004F2149"/>
    <w:rsid w:val="004F5154"/>
    <w:rsid w:val="004F7566"/>
    <w:rsid w:val="0050058B"/>
    <w:rsid w:val="005027DA"/>
    <w:rsid w:val="00506724"/>
    <w:rsid w:val="0050677F"/>
    <w:rsid w:val="00520715"/>
    <w:rsid w:val="0053271E"/>
    <w:rsid w:val="00534E49"/>
    <w:rsid w:val="005361E4"/>
    <w:rsid w:val="005371C1"/>
    <w:rsid w:val="005412DB"/>
    <w:rsid w:val="00544B71"/>
    <w:rsid w:val="00544E45"/>
    <w:rsid w:val="005466B6"/>
    <w:rsid w:val="00553CBA"/>
    <w:rsid w:val="005542B9"/>
    <w:rsid w:val="00557EC8"/>
    <w:rsid w:val="005626BC"/>
    <w:rsid w:val="00572AAA"/>
    <w:rsid w:val="00572F7B"/>
    <w:rsid w:val="00573EDF"/>
    <w:rsid w:val="00577A07"/>
    <w:rsid w:val="005915F5"/>
    <w:rsid w:val="005A19F6"/>
    <w:rsid w:val="005A3AF1"/>
    <w:rsid w:val="005B6D21"/>
    <w:rsid w:val="005B7B9B"/>
    <w:rsid w:val="005D6586"/>
    <w:rsid w:val="005E0B23"/>
    <w:rsid w:val="005E1695"/>
    <w:rsid w:val="005E3920"/>
    <w:rsid w:val="005E7489"/>
    <w:rsid w:val="005F28E5"/>
    <w:rsid w:val="005F31F4"/>
    <w:rsid w:val="0061086D"/>
    <w:rsid w:val="00610902"/>
    <w:rsid w:val="00612416"/>
    <w:rsid w:val="00614BD2"/>
    <w:rsid w:val="00616C75"/>
    <w:rsid w:val="00623601"/>
    <w:rsid w:val="006243E0"/>
    <w:rsid w:val="00627EF1"/>
    <w:rsid w:val="006341A6"/>
    <w:rsid w:val="006359D1"/>
    <w:rsid w:val="0063630B"/>
    <w:rsid w:val="006401FB"/>
    <w:rsid w:val="00650945"/>
    <w:rsid w:val="00653F40"/>
    <w:rsid w:val="0065596A"/>
    <w:rsid w:val="006601F5"/>
    <w:rsid w:val="00661410"/>
    <w:rsid w:val="00662603"/>
    <w:rsid w:val="00672942"/>
    <w:rsid w:val="00676C57"/>
    <w:rsid w:val="006849A6"/>
    <w:rsid w:val="006901EA"/>
    <w:rsid w:val="006923B7"/>
    <w:rsid w:val="006B1E43"/>
    <w:rsid w:val="006C035B"/>
    <w:rsid w:val="006C2E08"/>
    <w:rsid w:val="006D2110"/>
    <w:rsid w:val="006D3B26"/>
    <w:rsid w:val="006D3D6F"/>
    <w:rsid w:val="006D3ED6"/>
    <w:rsid w:val="006D4416"/>
    <w:rsid w:val="006D70C2"/>
    <w:rsid w:val="006E372B"/>
    <w:rsid w:val="006E3897"/>
    <w:rsid w:val="006E6EDD"/>
    <w:rsid w:val="006F61B6"/>
    <w:rsid w:val="00702AAA"/>
    <w:rsid w:val="00706A23"/>
    <w:rsid w:val="00707963"/>
    <w:rsid w:val="00711C90"/>
    <w:rsid w:val="0071488F"/>
    <w:rsid w:val="00714E65"/>
    <w:rsid w:val="0071546D"/>
    <w:rsid w:val="00716E54"/>
    <w:rsid w:val="0072580B"/>
    <w:rsid w:val="00726033"/>
    <w:rsid w:val="00732934"/>
    <w:rsid w:val="0073653D"/>
    <w:rsid w:val="00742BA6"/>
    <w:rsid w:val="00750FE7"/>
    <w:rsid w:val="00753F5B"/>
    <w:rsid w:val="00754471"/>
    <w:rsid w:val="00755B15"/>
    <w:rsid w:val="00766272"/>
    <w:rsid w:val="0076671B"/>
    <w:rsid w:val="00772C09"/>
    <w:rsid w:val="00775ABA"/>
    <w:rsid w:val="00777D30"/>
    <w:rsid w:val="007816F7"/>
    <w:rsid w:val="00784007"/>
    <w:rsid w:val="007866BE"/>
    <w:rsid w:val="0079127B"/>
    <w:rsid w:val="00791544"/>
    <w:rsid w:val="007920B8"/>
    <w:rsid w:val="00794A23"/>
    <w:rsid w:val="007955E9"/>
    <w:rsid w:val="0079627D"/>
    <w:rsid w:val="007A1EFF"/>
    <w:rsid w:val="007B0887"/>
    <w:rsid w:val="007B356F"/>
    <w:rsid w:val="007B52BC"/>
    <w:rsid w:val="007B5907"/>
    <w:rsid w:val="007B60EF"/>
    <w:rsid w:val="007C21F6"/>
    <w:rsid w:val="007C2227"/>
    <w:rsid w:val="007C51CC"/>
    <w:rsid w:val="007C7B71"/>
    <w:rsid w:val="007D0DFC"/>
    <w:rsid w:val="007D6853"/>
    <w:rsid w:val="007E1BB3"/>
    <w:rsid w:val="007E535A"/>
    <w:rsid w:val="007E5FAE"/>
    <w:rsid w:val="007E6DA2"/>
    <w:rsid w:val="007F1C87"/>
    <w:rsid w:val="007F2314"/>
    <w:rsid w:val="00813E15"/>
    <w:rsid w:val="0082235F"/>
    <w:rsid w:val="00832AC4"/>
    <w:rsid w:val="008340A7"/>
    <w:rsid w:val="00840D49"/>
    <w:rsid w:val="008424F8"/>
    <w:rsid w:val="00846673"/>
    <w:rsid w:val="008504D4"/>
    <w:rsid w:val="00853B5C"/>
    <w:rsid w:val="008603B7"/>
    <w:rsid w:val="00860F33"/>
    <w:rsid w:val="00865425"/>
    <w:rsid w:val="008704E8"/>
    <w:rsid w:val="008717DC"/>
    <w:rsid w:val="00875524"/>
    <w:rsid w:val="00880D43"/>
    <w:rsid w:val="008827CB"/>
    <w:rsid w:val="00883852"/>
    <w:rsid w:val="0088638F"/>
    <w:rsid w:val="008A115E"/>
    <w:rsid w:val="008B4670"/>
    <w:rsid w:val="008B5EFB"/>
    <w:rsid w:val="008B6AA5"/>
    <w:rsid w:val="008C39F5"/>
    <w:rsid w:val="008D48E8"/>
    <w:rsid w:val="008D5053"/>
    <w:rsid w:val="008E238A"/>
    <w:rsid w:val="008E4101"/>
    <w:rsid w:val="008F779F"/>
    <w:rsid w:val="00904611"/>
    <w:rsid w:val="009076CC"/>
    <w:rsid w:val="00907905"/>
    <w:rsid w:val="009127BD"/>
    <w:rsid w:val="00913F45"/>
    <w:rsid w:val="00917175"/>
    <w:rsid w:val="00920C32"/>
    <w:rsid w:val="00921C91"/>
    <w:rsid w:val="00932154"/>
    <w:rsid w:val="00934A98"/>
    <w:rsid w:val="00951BFB"/>
    <w:rsid w:val="009611A5"/>
    <w:rsid w:val="00967FFE"/>
    <w:rsid w:val="00972DE3"/>
    <w:rsid w:val="00973BD9"/>
    <w:rsid w:val="00976D8F"/>
    <w:rsid w:val="009845FA"/>
    <w:rsid w:val="009879CD"/>
    <w:rsid w:val="009A2D8C"/>
    <w:rsid w:val="009C6A04"/>
    <w:rsid w:val="009D2C1B"/>
    <w:rsid w:val="009D5EE8"/>
    <w:rsid w:val="009E6E5C"/>
    <w:rsid w:val="009F2243"/>
    <w:rsid w:val="009F2EE0"/>
    <w:rsid w:val="009F3432"/>
    <w:rsid w:val="009F7862"/>
    <w:rsid w:val="00A1250C"/>
    <w:rsid w:val="00A23A5A"/>
    <w:rsid w:val="00A35F34"/>
    <w:rsid w:val="00A37657"/>
    <w:rsid w:val="00A41D4F"/>
    <w:rsid w:val="00A42AE7"/>
    <w:rsid w:val="00A42F34"/>
    <w:rsid w:val="00A4545F"/>
    <w:rsid w:val="00A52523"/>
    <w:rsid w:val="00A530C2"/>
    <w:rsid w:val="00A5378D"/>
    <w:rsid w:val="00A6069C"/>
    <w:rsid w:val="00A637AF"/>
    <w:rsid w:val="00A64244"/>
    <w:rsid w:val="00A64D72"/>
    <w:rsid w:val="00A71229"/>
    <w:rsid w:val="00A751A1"/>
    <w:rsid w:val="00A83789"/>
    <w:rsid w:val="00A85E4C"/>
    <w:rsid w:val="00A90B6B"/>
    <w:rsid w:val="00A97D21"/>
    <w:rsid w:val="00AA0FE7"/>
    <w:rsid w:val="00AA1695"/>
    <w:rsid w:val="00AA7B94"/>
    <w:rsid w:val="00AC1F12"/>
    <w:rsid w:val="00AD1BC8"/>
    <w:rsid w:val="00AD1E97"/>
    <w:rsid w:val="00AD2CB8"/>
    <w:rsid w:val="00AD3565"/>
    <w:rsid w:val="00AE24EB"/>
    <w:rsid w:val="00AF486B"/>
    <w:rsid w:val="00AF5D52"/>
    <w:rsid w:val="00B008CC"/>
    <w:rsid w:val="00B011A8"/>
    <w:rsid w:val="00B04ACC"/>
    <w:rsid w:val="00B11914"/>
    <w:rsid w:val="00B12690"/>
    <w:rsid w:val="00B21597"/>
    <w:rsid w:val="00B27F8F"/>
    <w:rsid w:val="00B316DC"/>
    <w:rsid w:val="00B32D4F"/>
    <w:rsid w:val="00B336BC"/>
    <w:rsid w:val="00B530D5"/>
    <w:rsid w:val="00B53D71"/>
    <w:rsid w:val="00B60119"/>
    <w:rsid w:val="00B62158"/>
    <w:rsid w:val="00B72A82"/>
    <w:rsid w:val="00B750AA"/>
    <w:rsid w:val="00B820D2"/>
    <w:rsid w:val="00B93FCE"/>
    <w:rsid w:val="00B96736"/>
    <w:rsid w:val="00B970D9"/>
    <w:rsid w:val="00BA1CFA"/>
    <w:rsid w:val="00BA528A"/>
    <w:rsid w:val="00BB1EDC"/>
    <w:rsid w:val="00BB3C5A"/>
    <w:rsid w:val="00BC3578"/>
    <w:rsid w:val="00BC42A0"/>
    <w:rsid w:val="00BD5128"/>
    <w:rsid w:val="00BE3CB9"/>
    <w:rsid w:val="00BE469B"/>
    <w:rsid w:val="00BE5966"/>
    <w:rsid w:val="00BE5B6F"/>
    <w:rsid w:val="00BF5685"/>
    <w:rsid w:val="00C0372A"/>
    <w:rsid w:val="00C079F5"/>
    <w:rsid w:val="00C10FF8"/>
    <w:rsid w:val="00C11353"/>
    <w:rsid w:val="00C14173"/>
    <w:rsid w:val="00C14642"/>
    <w:rsid w:val="00C17394"/>
    <w:rsid w:val="00C26C23"/>
    <w:rsid w:val="00C27965"/>
    <w:rsid w:val="00C34A22"/>
    <w:rsid w:val="00C364CC"/>
    <w:rsid w:val="00C425EF"/>
    <w:rsid w:val="00C459C0"/>
    <w:rsid w:val="00C51625"/>
    <w:rsid w:val="00C518D3"/>
    <w:rsid w:val="00C51DCA"/>
    <w:rsid w:val="00C56766"/>
    <w:rsid w:val="00C654A8"/>
    <w:rsid w:val="00C675E5"/>
    <w:rsid w:val="00C711FE"/>
    <w:rsid w:val="00C73106"/>
    <w:rsid w:val="00C732BD"/>
    <w:rsid w:val="00C73DDC"/>
    <w:rsid w:val="00C801B0"/>
    <w:rsid w:val="00C86BB1"/>
    <w:rsid w:val="00C874FA"/>
    <w:rsid w:val="00C90939"/>
    <w:rsid w:val="00C97146"/>
    <w:rsid w:val="00CA058B"/>
    <w:rsid w:val="00CA142C"/>
    <w:rsid w:val="00CB6288"/>
    <w:rsid w:val="00CC0D77"/>
    <w:rsid w:val="00CC2BA3"/>
    <w:rsid w:val="00CD02C2"/>
    <w:rsid w:val="00CD296B"/>
    <w:rsid w:val="00CD35E0"/>
    <w:rsid w:val="00CD65D0"/>
    <w:rsid w:val="00CE17BC"/>
    <w:rsid w:val="00CE3F58"/>
    <w:rsid w:val="00CE49B0"/>
    <w:rsid w:val="00CE74BB"/>
    <w:rsid w:val="00CF3B5E"/>
    <w:rsid w:val="00CF5BD1"/>
    <w:rsid w:val="00D062DA"/>
    <w:rsid w:val="00D147FA"/>
    <w:rsid w:val="00D16662"/>
    <w:rsid w:val="00D23D5A"/>
    <w:rsid w:val="00D24944"/>
    <w:rsid w:val="00D27C3C"/>
    <w:rsid w:val="00D27DD4"/>
    <w:rsid w:val="00D3431C"/>
    <w:rsid w:val="00D364D4"/>
    <w:rsid w:val="00D36ECC"/>
    <w:rsid w:val="00D37E52"/>
    <w:rsid w:val="00D418A2"/>
    <w:rsid w:val="00D50013"/>
    <w:rsid w:val="00D508C9"/>
    <w:rsid w:val="00D51F87"/>
    <w:rsid w:val="00D6033F"/>
    <w:rsid w:val="00D612AE"/>
    <w:rsid w:val="00D628E2"/>
    <w:rsid w:val="00D66758"/>
    <w:rsid w:val="00D66F1F"/>
    <w:rsid w:val="00D67B69"/>
    <w:rsid w:val="00D715F4"/>
    <w:rsid w:val="00D77B73"/>
    <w:rsid w:val="00D81B88"/>
    <w:rsid w:val="00D81BEE"/>
    <w:rsid w:val="00D823EC"/>
    <w:rsid w:val="00D8266D"/>
    <w:rsid w:val="00D8335F"/>
    <w:rsid w:val="00D92714"/>
    <w:rsid w:val="00D94303"/>
    <w:rsid w:val="00DA11AD"/>
    <w:rsid w:val="00DB0553"/>
    <w:rsid w:val="00DB07F4"/>
    <w:rsid w:val="00DB6119"/>
    <w:rsid w:val="00DB6D0A"/>
    <w:rsid w:val="00DB731F"/>
    <w:rsid w:val="00DC01B3"/>
    <w:rsid w:val="00DC7109"/>
    <w:rsid w:val="00DE118E"/>
    <w:rsid w:val="00DE53F9"/>
    <w:rsid w:val="00DF2FDE"/>
    <w:rsid w:val="00DF45CE"/>
    <w:rsid w:val="00DF770A"/>
    <w:rsid w:val="00E02C12"/>
    <w:rsid w:val="00E04420"/>
    <w:rsid w:val="00E13353"/>
    <w:rsid w:val="00E22E7A"/>
    <w:rsid w:val="00E240D4"/>
    <w:rsid w:val="00E250BB"/>
    <w:rsid w:val="00E26BF9"/>
    <w:rsid w:val="00E37DAE"/>
    <w:rsid w:val="00E4134C"/>
    <w:rsid w:val="00E54CD8"/>
    <w:rsid w:val="00E556A9"/>
    <w:rsid w:val="00E64E57"/>
    <w:rsid w:val="00E65B99"/>
    <w:rsid w:val="00E82F06"/>
    <w:rsid w:val="00E85C01"/>
    <w:rsid w:val="00E87642"/>
    <w:rsid w:val="00E90311"/>
    <w:rsid w:val="00EA21EF"/>
    <w:rsid w:val="00EA7C53"/>
    <w:rsid w:val="00EB4C21"/>
    <w:rsid w:val="00EB7DB1"/>
    <w:rsid w:val="00EC380B"/>
    <w:rsid w:val="00EC5AF3"/>
    <w:rsid w:val="00ED08E1"/>
    <w:rsid w:val="00ED2049"/>
    <w:rsid w:val="00EE0394"/>
    <w:rsid w:val="00EE2290"/>
    <w:rsid w:val="00EE28EA"/>
    <w:rsid w:val="00EE4FC0"/>
    <w:rsid w:val="00EF534B"/>
    <w:rsid w:val="00EF56D1"/>
    <w:rsid w:val="00F01FA4"/>
    <w:rsid w:val="00F03288"/>
    <w:rsid w:val="00F05A3D"/>
    <w:rsid w:val="00F067BA"/>
    <w:rsid w:val="00F108C8"/>
    <w:rsid w:val="00F15377"/>
    <w:rsid w:val="00F174BB"/>
    <w:rsid w:val="00F22DE3"/>
    <w:rsid w:val="00F3342F"/>
    <w:rsid w:val="00F33DF4"/>
    <w:rsid w:val="00F418D1"/>
    <w:rsid w:val="00F4761F"/>
    <w:rsid w:val="00F51548"/>
    <w:rsid w:val="00F5278D"/>
    <w:rsid w:val="00F5514D"/>
    <w:rsid w:val="00F64EB1"/>
    <w:rsid w:val="00F66924"/>
    <w:rsid w:val="00F71E40"/>
    <w:rsid w:val="00F73B7F"/>
    <w:rsid w:val="00F764C0"/>
    <w:rsid w:val="00F779E5"/>
    <w:rsid w:val="00F8316A"/>
    <w:rsid w:val="00F85A0F"/>
    <w:rsid w:val="00F94BF9"/>
    <w:rsid w:val="00FA077D"/>
    <w:rsid w:val="00FB1924"/>
    <w:rsid w:val="00FB2FC5"/>
    <w:rsid w:val="00FB3A19"/>
    <w:rsid w:val="00FC03AF"/>
    <w:rsid w:val="00FC388B"/>
    <w:rsid w:val="00FC3DE4"/>
    <w:rsid w:val="00FC7705"/>
    <w:rsid w:val="00FD021A"/>
    <w:rsid w:val="00FD3CF5"/>
    <w:rsid w:val="00FD4C98"/>
    <w:rsid w:val="00FE6398"/>
    <w:rsid w:val="00FF3074"/>
    <w:rsid w:val="00FF4B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417CA6"/>
  <w15:chartTrackingRefBased/>
  <w15:docId w15:val="{3665BAE4-139F-412F-96F5-D85C0C43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3">
    <w:name w:val="heading 3"/>
    <w:basedOn w:val="Normal"/>
    <w:next w:val="Normal"/>
    <w:link w:val="Rubrik3Char"/>
    <w:qFormat/>
    <w:rsid w:val="006B1E43"/>
    <w:pPr>
      <w:keepNext/>
      <w:spacing w:before="240" w:after="60" w:line="240" w:lineRule="auto"/>
      <w:outlineLvl w:val="2"/>
    </w:pPr>
    <w:rPr>
      <w:rFonts w:ascii="Arial" w:eastAsia="Times New Roman" w:hAnsi="Arial" w:cs="Times New Roman"/>
      <w:b/>
      <w:kern w:val="0"/>
      <w:sz w:val="26"/>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6B1E43"/>
    <w:rPr>
      <w:rFonts w:ascii="Arial" w:eastAsia="Times New Roman" w:hAnsi="Arial" w:cs="Times New Roman"/>
      <w:b/>
      <w:kern w:val="0"/>
      <w:sz w:val="26"/>
      <w:szCs w:val="26"/>
      <w:lang w:eastAsia="sv-SE"/>
    </w:rPr>
  </w:style>
  <w:style w:type="character" w:styleId="Hyperlnk">
    <w:name w:val="Hyperlink"/>
    <w:rsid w:val="006B1E43"/>
    <w:rPr>
      <w:color w:val="0000FF"/>
      <w:u w:val="single"/>
    </w:rPr>
  </w:style>
  <w:style w:type="character" w:styleId="Stark">
    <w:name w:val="Strong"/>
    <w:basedOn w:val="Standardstycketeckensnitt"/>
    <w:uiPriority w:val="22"/>
    <w:qFormat/>
    <w:rsid w:val="006B1E43"/>
    <w:rPr>
      <w:b/>
      <w:bCs/>
    </w:rPr>
  </w:style>
  <w:style w:type="paragraph" w:styleId="Liststycke">
    <w:name w:val="List Paragraph"/>
    <w:basedOn w:val="Normal"/>
    <w:link w:val="ListstyckeChar"/>
    <w:uiPriority w:val="34"/>
    <w:qFormat/>
    <w:rsid w:val="006B1E43"/>
    <w:pPr>
      <w:spacing w:after="0" w:line="240" w:lineRule="auto"/>
      <w:ind w:left="720"/>
      <w:contextualSpacing/>
    </w:pPr>
    <w:rPr>
      <w:rFonts w:eastAsia="Times New Roman" w:cs="Times New Roman"/>
      <w:kern w:val="0"/>
      <w:szCs w:val="24"/>
      <w:lang w:eastAsia="sv-SE"/>
    </w:rPr>
  </w:style>
  <w:style w:type="character" w:customStyle="1" w:styleId="ListstyckeChar">
    <w:name w:val="Liststycke Char"/>
    <w:basedOn w:val="Standardstycketeckensnitt"/>
    <w:link w:val="Liststycke"/>
    <w:uiPriority w:val="34"/>
    <w:rsid w:val="006B1E43"/>
    <w:rPr>
      <w:rFonts w:eastAsia="Times New Roman" w:cs="Times New Roman"/>
      <w:kern w:val="0"/>
      <w:szCs w:val="24"/>
      <w:lang w:eastAsia="sv-SE"/>
    </w:rPr>
  </w:style>
  <w:style w:type="paragraph" w:customStyle="1" w:styleId="BasicParagraph">
    <w:name w:val="[Basic Paragraph]"/>
    <w:basedOn w:val="Normal"/>
    <w:uiPriority w:val="99"/>
    <w:rsid w:val="006B1E43"/>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kern w:val="0"/>
      <w:sz w:val="24"/>
      <w:szCs w:val="24"/>
      <w:lang w:val="en-GB" w:eastAsia="ja-JP"/>
    </w:rPr>
  </w:style>
  <w:style w:type="character" w:styleId="Olstomnmnande">
    <w:name w:val="Unresolved Mention"/>
    <w:basedOn w:val="Standardstycketeckensnitt"/>
    <w:uiPriority w:val="99"/>
    <w:semiHidden/>
    <w:unhideWhenUsed/>
    <w:rsid w:val="00365081"/>
    <w:rPr>
      <w:color w:val="605E5C"/>
      <w:shd w:val="clear" w:color="auto" w:fill="E1DFDD"/>
    </w:rPr>
  </w:style>
  <w:style w:type="character" w:styleId="Kommentarsreferens">
    <w:name w:val="annotation reference"/>
    <w:basedOn w:val="Standardstycketeckensnitt"/>
    <w:uiPriority w:val="99"/>
    <w:semiHidden/>
    <w:unhideWhenUsed/>
    <w:rsid w:val="001E58A2"/>
    <w:rPr>
      <w:sz w:val="16"/>
      <w:szCs w:val="16"/>
    </w:rPr>
  </w:style>
  <w:style w:type="paragraph" w:styleId="Kommentarer">
    <w:name w:val="annotation text"/>
    <w:basedOn w:val="Normal"/>
    <w:link w:val="KommentarerChar"/>
    <w:uiPriority w:val="99"/>
    <w:unhideWhenUsed/>
    <w:rsid w:val="001E58A2"/>
    <w:pPr>
      <w:spacing w:line="240" w:lineRule="auto"/>
    </w:pPr>
    <w:rPr>
      <w:sz w:val="20"/>
      <w:szCs w:val="20"/>
    </w:rPr>
  </w:style>
  <w:style w:type="character" w:customStyle="1" w:styleId="KommentarerChar">
    <w:name w:val="Kommentarer Char"/>
    <w:basedOn w:val="Standardstycketeckensnitt"/>
    <w:link w:val="Kommentarer"/>
    <w:uiPriority w:val="99"/>
    <w:rsid w:val="001E58A2"/>
    <w:rPr>
      <w:sz w:val="20"/>
      <w:szCs w:val="20"/>
    </w:rPr>
  </w:style>
  <w:style w:type="paragraph" w:styleId="Kommentarsmne">
    <w:name w:val="annotation subject"/>
    <w:basedOn w:val="Kommentarer"/>
    <w:next w:val="Kommentarer"/>
    <w:link w:val="KommentarsmneChar"/>
    <w:uiPriority w:val="99"/>
    <w:semiHidden/>
    <w:unhideWhenUsed/>
    <w:rsid w:val="001E58A2"/>
    <w:rPr>
      <w:b/>
      <w:bCs/>
    </w:rPr>
  </w:style>
  <w:style w:type="character" w:customStyle="1" w:styleId="KommentarsmneChar">
    <w:name w:val="Kommentarsämne Char"/>
    <w:basedOn w:val="KommentarerChar"/>
    <w:link w:val="Kommentarsmne"/>
    <w:uiPriority w:val="99"/>
    <w:semiHidden/>
    <w:rsid w:val="001E58A2"/>
    <w:rPr>
      <w:b/>
      <w:bCs/>
      <w:sz w:val="20"/>
      <w:szCs w:val="20"/>
    </w:rPr>
  </w:style>
  <w:style w:type="paragraph" w:styleId="Sidhuvud">
    <w:name w:val="header"/>
    <w:basedOn w:val="Normal"/>
    <w:link w:val="SidhuvudChar"/>
    <w:uiPriority w:val="99"/>
    <w:unhideWhenUsed/>
    <w:rsid w:val="005F31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F31F4"/>
  </w:style>
  <w:style w:type="paragraph" w:styleId="Sidfot">
    <w:name w:val="footer"/>
    <w:basedOn w:val="Normal"/>
    <w:link w:val="SidfotChar"/>
    <w:uiPriority w:val="99"/>
    <w:unhideWhenUsed/>
    <w:rsid w:val="005F31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F31F4"/>
  </w:style>
  <w:style w:type="paragraph" w:styleId="Revision">
    <w:name w:val="Revision"/>
    <w:hidden/>
    <w:uiPriority w:val="99"/>
    <w:semiHidden/>
    <w:rsid w:val="00572A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78993">
      <w:bodyDiv w:val="1"/>
      <w:marLeft w:val="0"/>
      <w:marRight w:val="0"/>
      <w:marTop w:val="0"/>
      <w:marBottom w:val="0"/>
      <w:divBdr>
        <w:top w:val="none" w:sz="0" w:space="0" w:color="auto"/>
        <w:left w:val="none" w:sz="0" w:space="0" w:color="auto"/>
        <w:bottom w:val="none" w:sz="0" w:space="0" w:color="auto"/>
        <w:right w:val="none" w:sz="0" w:space="0" w:color="auto"/>
      </w:divBdr>
    </w:div>
    <w:div w:id="135680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settings" Target="settings.xml" Id="rId6" /><Relationship Type="http://schemas.openxmlformats.org/officeDocument/2006/relationships/hyperlink" Target="http://www.arcedepharma.com"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hyperlink" Target="http://www.arcedepharma.com"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26017F56-BB44-4EEC-8966-5FE66971F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2553</Words>
  <Characters>16297</Characters>
  <Application>Microsoft Office Word</Application>
  <DocSecurity>0</DocSecurity>
  <Lines>135</Lines>
  <Paragraphs>37</Paragraphs>
  <ScaleCrop>false</ScaleCrop>
  <Company/>
  <LinksUpToDate>false</LinksUpToDate>
  <CharactersWithSpaces>18813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2023-07-14T13:32:00Z</dcterms:created>
  <dcterms:modified xsi:type="dcterms:W3CDTF">2023-07-14T13:32:00Z</dcterms:modified>
</cp:coreProperties>
</file>